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charts/chart23.xml" ContentType="application/vnd.openxmlformats-officedocument.drawingml.chart+xml"/>
  <Override PartName="/word/theme/themeOverride22.xml" ContentType="application/vnd.openxmlformats-officedocument.themeOverride+xml"/>
  <Override PartName="/word/charts/chart24.xml" ContentType="application/vnd.openxmlformats-officedocument.drawingml.chart+xml"/>
  <Override PartName="/word/theme/themeOverride23.xml" ContentType="application/vnd.openxmlformats-officedocument.themeOverride+xml"/>
  <Override PartName="/word/charts/chart25.xml" ContentType="application/vnd.openxmlformats-officedocument.drawingml.chart+xml"/>
  <Override PartName="/word/theme/themeOverride2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A8513" w14:textId="77777777" w:rsidR="00C80938" w:rsidRDefault="00C80938" w:rsidP="00761263">
      <w:pPr>
        <w:spacing w:after="0" w:line="360" w:lineRule="auto"/>
        <w:jc w:val="center"/>
        <w:rPr>
          <w:rFonts w:ascii="Times New Roman" w:hAnsi="Times New Roman" w:cs="Times New Roman"/>
          <w:b/>
          <w:sz w:val="24"/>
          <w:szCs w:val="24"/>
        </w:rPr>
      </w:pPr>
      <w:bookmarkStart w:id="0" w:name="_Hlk68251589"/>
      <w:bookmarkStart w:id="1" w:name="_GoBack"/>
      <w:bookmarkEnd w:id="1"/>
    </w:p>
    <w:p w14:paraId="4CC5B5B1" w14:textId="50047006" w:rsidR="00A9257F" w:rsidRPr="00E36734" w:rsidRDefault="00A9257F" w:rsidP="00761263">
      <w:pPr>
        <w:spacing w:after="0" w:line="360" w:lineRule="auto"/>
        <w:jc w:val="center"/>
        <w:rPr>
          <w:rFonts w:ascii="Times New Roman" w:hAnsi="Times New Roman" w:cs="Times New Roman"/>
          <w:b/>
          <w:sz w:val="24"/>
          <w:szCs w:val="24"/>
        </w:rPr>
      </w:pPr>
      <w:r w:rsidRPr="00E36734">
        <w:rPr>
          <w:rFonts w:ascii="Times New Roman" w:hAnsi="Times New Roman" w:cs="Times New Roman"/>
          <w:b/>
          <w:sz w:val="24"/>
          <w:szCs w:val="24"/>
        </w:rPr>
        <w:t xml:space="preserve">ΕΞΑΜΗΝΑΙΟ ΔΕΛΤΙΟ ΟΙΚΟΝΟΜΙΚΟΥ ΚΛΙΜΑΤΟΣ </w:t>
      </w:r>
      <w:r w:rsidR="00C80938" w:rsidRPr="00E36734">
        <w:rPr>
          <w:rFonts w:ascii="Times New Roman" w:hAnsi="Times New Roman" w:cs="Times New Roman"/>
          <w:b/>
          <w:sz w:val="24"/>
          <w:szCs w:val="24"/>
        </w:rPr>
        <w:t>ΜΙΚΡΩΝ &amp; ΠΟΛΥ ΜΙΚΡΩΝ ΕΠΙΧΕΙΡΗΣΕΩΝ</w:t>
      </w:r>
    </w:p>
    <w:p w14:paraId="57D81F7E" w14:textId="684CF523" w:rsidR="00A9257F" w:rsidRPr="00E36734" w:rsidRDefault="0026178A" w:rsidP="0026178A">
      <w:pPr>
        <w:spacing w:after="0" w:line="360" w:lineRule="auto"/>
        <w:jc w:val="right"/>
        <w:rPr>
          <w:rFonts w:ascii="Times New Roman" w:hAnsi="Times New Roman" w:cs="Times New Roman"/>
          <w:sz w:val="24"/>
          <w:szCs w:val="24"/>
        </w:rPr>
      </w:pPr>
      <w:r w:rsidRPr="00E36734">
        <w:rPr>
          <w:rFonts w:ascii="Times New Roman" w:hAnsi="Times New Roman" w:cs="Times New Roman"/>
          <w:sz w:val="24"/>
          <w:szCs w:val="24"/>
        </w:rPr>
        <w:t>Απρίλιος 2021</w:t>
      </w:r>
    </w:p>
    <w:p w14:paraId="52CD0C8B" w14:textId="4717022A" w:rsidR="00A9257F" w:rsidRPr="00E36734" w:rsidRDefault="00A9257F" w:rsidP="00761263">
      <w:pPr>
        <w:spacing w:after="0" w:line="360" w:lineRule="auto"/>
        <w:jc w:val="both"/>
        <w:rPr>
          <w:rFonts w:ascii="Times New Roman" w:hAnsi="Times New Roman" w:cs="Times New Roman"/>
          <w:b/>
          <w:sz w:val="24"/>
          <w:szCs w:val="24"/>
        </w:rPr>
      </w:pPr>
      <w:r w:rsidRPr="00E36734">
        <w:rPr>
          <w:rFonts w:ascii="Times New Roman" w:hAnsi="Times New Roman" w:cs="Times New Roman"/>
          <w:b/>
          <w:sz w:val="24"/>
          <w:szCs w:val="24"/>
        </w:rPr>
        <w:t xml:space="preserve">Θέμα: Έρευνα ΙΜΕ ΓΣΕΒΕΕ </w:t>
      </w:r>
      <w:r w:rsidR="00ED2A9D" w:rsidRPr="00E36734">
        <w:rPr>
          <w:rFonts w:ascii="Times New Roman" w:hAnsi="Times New Roman" w:cs="Times New Roman"/>
          <w:b/>
          <w:sz w:val="24"/>
          <w:szCs w:val="24"/>
        </w:rPr>
        <w:t xml:space="preserve">- </w:t>
      </w:r>
      <w:r w:rsidRPr="00E36734">
        <w:rPr>
          <w:rFonts w:ascii="Times New Roman" w:hAnsi="Times New Roman" w:cs="Times New Roman"/>
          <w:b/>
          <w:sz w:val="24"/>
          <w:szCs w:val="24"/>
        </w:rPr>
        <w:t xml:space="preserve">Εξαμηνία αποτύπωση οικονομικού κλίματος στις μικρές </w:t>
      </w:r>
      <w:r w:rsidR="00C80938" w:rsidRPr="00E36734">
        <w:rPr>
          <w:rFonts w:ascii="Times New Roman" w:hAnsi="Times New Roman" w:cs="Times New Roman"/>
          <w:b/>
          <w:sz w:val="24"/>
          <w:szCs w:val="24"/>
        </w:rPr>
        <w:t xml:space="preserve">και πολύ μικρές </w:t>
      </w:r>
      <w:r w:rsidRPr="00E36734">
        <w:rPr>
          <w:rFonts w:ascii="Times New Roman" w:hAnsi="Times New Roman" w:cs="Times New Roman"/>
          <w:b/>
          <w:sz w:val="24"/>
          <w:szCs w:val="24"/>
        </w:rPr>
        <w:t>επιχειρήσεις (0-49 άτομα προσωπικό οι οποίες αποτελούν το 99,6% των ελληνικών επιχειρήσεων)</w:t>
      </w:r>
      <w:r w:rsidR="00C80938" w:rsidRPr="00E36734">
        <w:rPr>
          <w:rStyle w:val="ae"/>
          <w:rFonts w:ascii="Times New Roman" w:hAnsi="Times New Roman" w:cs="Times New Roman"/>
          <w:b/>
          <w:sz w:val="24"/>
          <w:szCs w:val="24"/>
        </w:rPr>
        <w:footnoteReference w:id="1"/>
      </w:r>
      <w:r w:rsidRPr="00E36734">
        <w:rPr>
          <w:rFonts w:ascii="Times New Roman" w:hAnsi="Times New Roman" w:cs="Times New Roman"/>
          <w:b/>
          <w:sz w:val="24"/>
          <w:szCs w:val="24"/>
        </w:rPr>
        <w:t xml:space="preserve"> </w:t>
      </w:r>
    </w:p>
    <w:p w14:paraId="226466D6" w14:textId="77777777" w:rsidR="008C7FF0" w:rsidRPr="00E36734" w:rsidRDefault="008C7FF0" w:rsidP="00761263">
      <w:pPr>
        <w:spacing w:after="0" w:line="360" w:lineRule="auto"/>
        <w:jc w:val="both"/>
        <w:rPr>
          <w:rFonts w:ascii="Times New Roman" w:hAnsi="Times New Roman" w:cs="Times New Roman"/>
          <w:b/>
          <w:sz w:val="24"/>
          <w:szCs w:val="24"/>
        </w:rPr>
      </w:pPr>
    </w:p>
    <w:p w14:paraId="115F5FD1" w14:textId="4C5853D1" w:rsidR="00AC066D" w:rsidRPr="00E36734" w:rsidRDefault="002452C5" w:rsidP="00761263">
      <w:pPr>
        <w:spacing w:after="0" w:line="360" w:lineRule="auto"/>
        <w:jc w:val="both"/>
        <w:rPr>
          <w:rFonts w:ascii="Times New Roman" w:eastAsia="Times New Roman" w:hAnsi="Times New Roman" w:cs="Times New Roman"/>
          <w:color w:val="222222"/>
          <w:sz w:val="24"/>
          <w:szCs w:val="24"/>
          <w:lang w:eastAsia="el-GR"/>
        </w:rPr>
      </w:pPr>
      <w:r w:rsidRPr="00E36734">
        <w:rPr>
          <w:rFonts w:ascii="Times New Roman" w:eastAsia="Times New Roman" w:hAnsi="Times New Roman" w:cs="Times New Roman"/>
          <w:color w:val="222222"/>
          <w:sz w:val="24"/>
          <w:szCs w:val="24"/>
          <w:lang w:eastAsia="el-GR"/>
        </w:rPr>
        <w:t xml:space="preserve">Η εξαμηνιαία έρευνα οικονομικού κλίματος </w:t>
      </w:r>
      <w:r w:rsidR="00F45994" w:rsidRPr="00E36734">
        <w:rPr>
          <w:rFonts w:ascii="Times New Roman" w:eastAsia="Times New Roman" w:hAnsi="Times New Roman" w:cs="Times New Roman"/>
          <w:color w:val="222222"/>
          <w:sz w:val="24"/>
          <w:szCs w:val="24"/>
          <w:lang w:eastAsia="el-GR"/>
        </w:rPr>
        <w:t>για τις</w:t>
      </w:r>
      <w:r w:rsidRPr="00E36734">
        <w:rPr>
          <w:rFonts w:ascii="Times New Roman" w:eastAsia="Times New Roman" w:hAnsi="Times New Roman" w:cs="Times New Roman"/>
          <w:color w:val="222222"/>
          <w:sz w:val="24"/>
          <w:szCs w:val="24"/>
          <w:lang w:eastAsia="el-GR"/>
        </w:rPr>
        <w:t xml:space="preserve"> μικρές και πολύ μικρές ε</w:t>
      </w:r>
      <w:r w:rsidR="00923D8D" w:rsidRPr="00E36734">
        <w:rPr>
          <w:rFonts w:ascii="Times New Roman" w:eastAsia="Times New Roman" w:hAnsi="Times New Roman" w:cs="Times New Roman"/>
          <w:color w:val="222222"/>
          <w:sz w:val="24"/>
          <w:szCs w:val="24"/>
          <w:lang w:eastAsia="el-GR"/>
        </w:rPr>
        <w:t>πιχειρήσεις του ΙΜΕ ΓΣΕΒΕΕ, η</w:t>
      </w:r>
      <w:r w:rsidR="0026178A" w:rsidRPr="00E36734">
        <w:rPr>
          <w:rFonts w:ascii="Times New Roman" w:eastAsia="Times New Roman" w:hAnsi="Times New Roman" w:cs="Times New Roman"/>
          <w:color w:val="222222"/>
          <w:sz w:val="24"/>
          <w:szCs w:val="24"/>
          <w:lang w:eastAsia="el-GR"/>
        </w:rPr>
        <w:t xml:space="preserve"> οποία διενεργείται συστηματικά από τον Μάιο του 2009</w:t>
      </w:r>
      <w:r w:rsidRPr="00E36734">
        <w:rPr>
          <w:rFonts w:ascii="Times New Roman" w:eastAsia="Times New Roman" w:hAnsi="Times New Roman" w:cs="Times New Roman"/>
          <w:color w:val="222222"/>
          <w:sz w:val="24"/>
          <w:szCs w:val="24"/>
          <w:lang w:eastAsia="el-GR"/>
        </w:rPr>
        <w:t xml:space="preserve">, </w:t>
      </w:r>
      <w:r w:rsidR="00AC066D" w:rsidRPr="00E36734">
        <w:rPr>
          <w:rFonts w:ascii="Times New Roman" w:eastAsia="Times New Roman" w:hAnsi="Times New Roman" w:cs="Times New Roman"/>
          <w:color w:val="222222"/>
          <w:sz w:val="24"/>
          <w:szCs w:val="24"/>
          <w:lang w:eastAsia="el-GR"/>
        </w:rPr>
        <w:t>αποτελεί την δεύτερη που διεξάγεται υπό τις πρωτοφανείς συνθήκες που έχει διαμορφώσει η υγειονομική κρίση.</w:t>
      </w:r>
    </w:p>
    <w:p w14:paraId="09DA0284" w14:textId="33AD648B" w:rsidR="00AC066D" w:rsidRPr="00E36734" w:rsidRDefault="00AC066D" w:rsidP="00AC066D">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Οι επιπτώσεις της υγειονομικής κρίσης, που στην οικονομία έχ</w:t>
      </w:r>
      <w:r w:rsidR="00F45994" w:rsidRPr="00E36734">
        <w:rPr>
          <w:rFonts w:ascii="Times New Roman" w:eastAsia="Times New Roman" w:hAnsi="Times New Roman" w:cs="Times New Roman"/>
          <w:bCs/>
          <w:sz w:val="24"/>
          <w:szCs w:val="24"/>
          <w:lang w:eastAsia="el-GR"/>
        </w:rPr>
        <w:t>ουν</w:t>
      </w:r>
      <w:r w:rsidRPr="00E36734">
        <w:rPr>
          <w:rFonts w:ascii="Times New Roman" w:eastAsia="Times New Roman" w:hAnsi="Times New Roman" w:cs="Times New Roman"/>
          <w:bCs/>
          <w:sz w:val="24"/>
          <w:szCs w:val="24"/>
          <w:lang w:eastAsia="el-GR"/>
        </w:rPr>
        <w:t xml:space="preserve"> εκδηλωθεί με την μορφή της βαθιάς και απότομης ύφεσης, όπως είναι επόμενο, έχουν επηρεάσει </w:t>
      </w:r>
      <w:r w:rsidR="00F45994" w:rsidRPr="00E36734">
        <w:rPr>
          <w:rFonts w:ascii="Times New Roman" w:eastAsia="Times New Roman" w:hAnsi="Times New Roman" w:cs="Times New Roman"/>
          <w:bCs/>
          <w:sz w:val="24"/>
          <w:szCs w:val="24"/>
          <w:lang w:eastAsia="el-GR"/>
        </w:rPr>
        <w:t>αρνητικά</w:t>
      </w:r>
      <w:r w:rsidRPr="00E36734">
        <w:rPr>
          <w:rFonts w:ascii="Times New Roman" w:eastAsia="Times New Roman" w:hAnsi="Times New Roman" w:cs="Times New Roman"/>
          <w:bCs/>
          <w:sz w:val="24"/>
          <w:szCs w:val="24"/>
          <w:lang w:eastAsia="el-GR"/>
        </w:rPr>
        <w:t xml:space="preserve"> την οικονομική κατάσταση των </w:t>
      </w:r>
      <w:r w:rsidR="00F45994" w:rsidRPr="00E36734">
        <w:rPr>
          <w:rFonts w:ascii="Times New Roman" w:eastAsia="Times New Roman" w:hAnsi="Times New Roman" w:cs="Times New Roman"/>
          <w:bCs/>
          <w:sz w:val="24"/>
          <w:szCs w:val="24"/>
          <w:lang w:eastAsia="el-GR"/>
        </w:rPr>
        <w:t>ΜμΕ</w:t>
      </w:r>
      <w:r w:rsidRPr="00E36734">
        <w:rPr>
          <w:rFonts w:ascii="Times New Roman" w:eastAsia="Times New Roman" w:hAnsi="Times New Roman" w:cs="Times New Roman"/>
          <w:bCs/>
          <w:sz w:val="24"/>
          <w:szCs w:val="24"/>
          <w:lang w:eastAsia="el-GR"/>
        </w:rPr>
        <w:t xml:space="preserve">. Αυτό άλλωστε αποτυπώθηκε και στην αντίστοιχη έρευνα του ΙΜΕ ΓΣΕΒΕΕ για το Α εξάμηνο του 2020 όπου καταγράφηκε σοβαρή πτώση όλων των βασικών δεικτών που προσδιορίζουν την κατάσταση που βρίσκονται οι μικρές και πολύ μικρές επιχειρήσεις. </w:t>
      </w:r>
    </w:p>
    <w:p w14:paraId="0B9F3967" w14:textId="77777777" w:rsidR="00AC066D" w:rsidRPr="00E36734" w:rsidRDefault="00AC066D" w:rsidP="00AC066D">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 xml:space="preserve">Τα ευρήματα της έρευνας για το Β εξάμηνο του 2020 καταδεικνύουν πως η κατάσταση παραμένει δυσμενής. </w:t>
      </w:r>
    </w:p>
    <w:p w14:paraId="7669E7C7" w14:textId="77777777" w:rsidR="00AC066D" w:rsidRPr="00E36734" w:rsidRDefault="00AC066D" w:rsidP="00AC066D">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 xml:space="preserve">Ο γενικός δείκτης οικονομικού κλίματος το Β εξάμηνο του 2020 διατηρείται σε εξαιρετικά χαμηλό επίπεδο καθώς διαμορφώνεται στις 20,1 μονάδες. Δεν έχει μεταβληθεί, δηλαδή, σε σχέση με το Α εξάμηνο του 2020. </w:t>
      </w:r>
    </w:p>
    <w:p w14:paraId="57EDA272" w14:textId="65904C07" w:rsidR="00AC066D" w:rsidRPr="00E36734" w:rsidRDefault="00AC066D" w:rsidP="00AC066D">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Με μια πρώτη ανάγνωση της έρευνας φαίνεται πως η κατάσταση στις μικρές και πολύ μικρές επιχειρήσεις δεν έχει επιδεινωθεί περεταίρω</w:t>
      </w:r>
      <w:r w:rsidR="008C7FF0" w:rsidRPr="00E36734">
        <w:rPr>
          <w:rFonts w:ascii="Times New Roman" w:eastAsia="Times New Roman" w:hAnsi="Times New Roman" w:cs="Times New Roman"/>
          <w:bCs/>
          <w:sz w:val="24"/>
          <w:szCs w:val="24"/>
          <w:lang w:eastAsia="el-GR"/>
        </w:rPr>
        <w:t>, καθώς</w:t>
      </w:r>
      <w:r w:rsidRPr="00E36734">
        <w:rPr>
          <w:rFonts w:ascii="Times New Roman" w:eastAsia="Times New Roman" w:hAnsi="Times New Roman" w:cs="Times New Roman"/>
          <w:bCs/>
          <w:sz w:val="24"/>
          <w:szCs w:val="24"/>
          <w:lang w:eastAsia="el-GR"/>
        </w:rPr>
        <w:t xml:space="preserve"> σε όλους σχεδόν τους επιμέρους δείκτες</w:t>
      </w:r>
      <w:r w:rsidR="00CB7FC5" w:rsidRPr="00E36734">
        <w:rPr>
          <w:rFonts w:ascii="Times New Roman" w:eastAsia="Times New Roman" w:hAnsi="Times New Roman" w:cs="Times New Roman"/>
          <w:bCs/>
          <w:sz w:val="24"/>
          <w:szCs w:val="24"/>
          <w:lang w:eastAsia="el-GR"/>
        </w:rPr>
        <w:t xml:space="preserve"> αποτίμησης</w:t>
      </w:r>
      <w:r w:rsidRPr="00E36734">
        <w:rPr>
          <w:rFonts w:ascii="Times New Roman" w:eastAsia="Times New Roman" w:hAnsi="Times New Roman" w:cs="Times New Roman"/>
          <w:bCs/>
          <w:sz w:val="24"/>
          <w:szCs w:val="24"/>
          <w:lang w:eastAsia="el-GR"/>
        </w:rPr>
        <w:t xml:space="preserve"> καταγράφεται και μια μικρή υποχώρηση της επιδείνωσης. </w:t>
      </w:r>
    </w:p>
    <w:p w14:paraId="525D0125" w14:textId="271BDAAF" w:rsidR="00E22D6F" w:rsidRPr="00E36734" w:rsidRDefault="00AC066D" w:rsidP="00AC066D">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Η προσεκτικότερη</w:t>
      </w:r>
      <w:r w:rsidR="008C7FF0" w:rsidRPr="00E36734">
        <w:rPr>
          <w:rFonts w:ascii="Times New Roman" w:eastAsia="Times New Roman" w:hAnsi="Times New Roman" w:cs="Times New Roman"/>
          <w:bCs/>
          <w:sz w:val="24"/>
          <w:szCs w:val="24"/>
          <w:lang w:eastAsia="el-GR"/>
        </w:rPr>
        <w:t>,</w:t>
      </w:r>
      <w:r w:rsidRPr="00E36734">
        <w:rPr>
          <w:rFonts w:ascii="Times New Roman" w:eastAsia="Times New Roman" w:hAnsi="Times New Roman" w:cs="Times New Roman"/>
          <w:bCs/>
          <w:sz w:val="24"/>
          <w:szCs w:val="24"/>
          <w:lang w:eastAsia="el-GR"/>
        </w:rPr>
        <w:t xml:space="preserve"> ωστόσο</w:t>
      </w:r>
      <w:r w:rsidR="008C7FF0" w:rsidRPr="00E36734">
        <w:rPr>
          <w:rFonts w:ascii="Times New Roman" w:eastAsia="Times New Roman" w:hAnsi="Times New Roman" w:cs="Times New Roman"/>
          <w:bCs/>
          <w:sz w:val="24"/>
          <w:szCs w:val="24"/>
          <w:lang w:eastAsia="el-GR"/>
        </w:rPr>
        <w:t>,</w:t>
      </w:r>
      <w:r w:rsidRPr="00E36734">
        <w:rPr>
          <w:rFonts w:ascii="Times New Roman" w:eastAsia="Times New Roman" w:hAnsi="Times New Roman" w:cs="Times New Roman"/>
          <w:bCs/>
          <w:sz w:val="24"/>
          <w:szCs w:val="24"/>
          <w:lang w:eastAsia="el-GR"/>
        </w:rPr>
        <w:t xml:space="preserve"> εξέταση των στοιχείων της έρευνας αναδεικνύει σοβαρές διαφοροποιήσεις μεταξύ των επιχειρήσεων. Η πανδημική κρίση δεν επηρεάζει με την ίδια ένταση όλες τις επιχειρήσεις. </w:t>
      </w:r>
      <w:r w:rsidR="00E22D6F" w:rsidRPr="00E36734">
        <w:rPr>
          <w:rFonts w:ascii="Times New Roman" w:eastAsia="Times New Roman" w:hAnsi="Times New Roman" w:cs="Times New Roman"/>
          <w:bCs/>
          <w:sz w:val="24"/>
          <w:szCs w:val="24"/>
          <w:lang w:eastAsia="el-GR"/>
        </w:rPr>
        <w:lastRenderedPageBreak/>
        <w:t xml:space="preserve">Ιδιαίτερα οι επιχειρήσεις που έχουν αναστείλει τη λειτουργία τους με κρατική εντολή βρίσκονται σε εξαιρετικά δυσμενή θέση. </w:t>
      </w:r>
    </w:p>
    <w:p w14:paraId="69221ECA" w14:textId="1E3C02D0" w:rsidR="00CB7FC5" w:rsidRPr="00E36734" w:rsidRDefault="00AC066D" w:rsidP="00AC066D">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 xml:space="preserve">Στην έρευνα καταγράφεται μια μικρή αύξηση τόσο των επιχειρήσεων που επωφελούνται από την κρίση όσο και των επιχειρήσεων που έχουν καταφέρει να απορροφήσουν τις δυσμενείς της επιπτώσεις. Για την πλειοψηφία όμως των μικρών και πολύ μικρών επιχειρήσεων </w:t>
      </w:r>
      <w:r w:rsidR="008C7FF0" w:rsidRPr="00E36734">
        <w:rPr>
          <w:rFonts w:ascii="Times New Roman" w:eastAsia="Times New Roman" w:hAnsi="Times New Roman" w:cs="Times New Roman"/>
          <w:bCs/>
          <w:sz w:val="24"/>
          <w:szCs w:val="24"/>
          <w:lang w:eastAsia="el-GR"/>
        </w:rPr>
        <w:t>φαίνεται</w:t>
      </w:r>
      <w:r w:rsidRPr="00E36734">
        <w:rPr>
          <w:rFonts w:ascii="Times New Roman" w:eastAsia="Times New Roman" w:hAnsi="Times New Roman" w:cs="Times New Roman"/>
          <w:bCs/>
          <w:sz w:val="24"/>
          <w:szCs w:val="24"/>
          <w:lang w:eastAsia="el-GR"/>
        </w:rPr>
        <w:t xml:space="preserve"> πως η κατάσταση </w:t>
      </w:r>
      <w:r w:rsidR="00CB7FC5" w:rsidRPr="00E36734">
        <w:rPr>
          <w:rFonts w:ascii="Times New Roman" w:eastAsia="Times New Roman" w:hAnsi="Times New Roman" w:cs="Times New Roman"/>
          <w:bCs/>
          <w:sz w:val="24"/>
          <w:szCs w:val="24"/>
          <w:lang w:eastAsia="el-GR"/>
        </w:rPr>
        <w:t xml:space="preserve">έχει επιδεινωθεί </w:t>
      </w:r>
      <w:r w:rsidR="00F45994" w:rsidRPr="00E36734">
        <w:rPr>
          <w:rFonts w:ascii="Times New Roman" w:eastAsia="Times New Roman" w:hAnsi="Times New Roman" w:cs="Times New Roman"/>
          <w:bCs/>
          <w:sz w:val="24"/>
          <w:szCs w:val="24"/>
          <w:lang w:eastAsia="el-GR"/>
        </w:rPr>
        <w:t>περαιτέρω</w:t>
      </w:r>
      <w:r w:rsidR="00CB7FC5" w:rsidRPr="00E36734">
        <w:rPr>
          <w:rFonts w:ascii="Times New Roman" w:eastAsia="Times New Roman" w:hAnsi="Times New Roman" w:cs="Times New Roman"/>
          <w:bCs/>
          <w:sz w:val="24"/>
          <w:szCs w:val="24"/>
          <w:lang w:eastAsia="el-GR"/>
        </w:rPr>
        <w:t>, ναρκοθετώντας τις προοπτικές τους για το μέλλον</w:t>
      </w:r>
      <w:r w:rsidRPr="00E36734">
        <w:rPr>
          <w:rFonts w:ascii="Times New Roman" w:eastAsia="Times New Roman" w:hAnsi="Times New Roman" w:cs="Times New Roman"/>
          <w:bCs/>
          <w:sz w:val="24"/>
          <w:szCs w:val="24"/>
          <w:lang w:eastAsia="el-GR"/>
        </w:rPr>
        <w:t xml:space="preserve">. </w:t>
      </w:r>
    </w:p>
    <w:p w14:paraId="527DD1A5" w14:textId="0D1A9E60" w:rsidR="00AC066D" w:rsidRPr="00E36734" w:rsidRDefault="00AC066D" w:rsidP="00AC066D">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 xml:space="preserve">Είναι μάλιστα τόσο υψηλά τα ποσοστά των επιχειρήσεων που αντιμετωπίζουν πολλαπλές δυσκολίες που φαίνεται πως πλέον και υγιείς μικρές και πολύ μικρές επιχειρήσεις αντιμετωπίζουν σοβαρά προβλήματα βιωσιμότητας. Το παρατεταμένο διάστημα που διατηρείται το απαγορευτικό για τη λειτουργία μεγάλου μέρους της οικονομικής δραστηριότητας, σε συνδυασμό με την αβεβαιότητα που υπάρχει για τον χρόνο που τελικά θα απαιτηθεί για να επιστρέψουμε σε κάποιας μορφής κανονικότητα, φαίνεται πως επιβαρύνει εκθετικά την κατάσταση της πλειοψηφίας των μικρών και πολύ μικρών επιχειρήσεων. </w:t>
      </w:r>
    </w:p>
    <w:p w14:paraId="2B5969E7" w14:textId="4C85EC62" w:rsidR="00EB026B" w:rsidRPr="00E36734" w:rsidRDefault="00AC066D" w:rsidP="00AC066D">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 xml:space="preserve">Δεν θα πρέπει, επίσης, να λησμονούμε ότι οι υφιστάμενες μικρές και πολύ μικρές επιχειρήσεις έχουν περάσει μέσα από τη μέγγενη της πρόσφατης χρηματοπιστωτικής κρίσης. Η εκδήλωση της </w:t>
      </w:r>
      <w:r w:rsidR="008C7FF0" w:rsidRPr="00E36734">
        <w:rPr>
          <w:rFonts w:ascii="Times New Roman" w:eastAsia="Times New Roman" w:hAnsi="Times New Roman" w:cs="Times New Roman"/>
          <w:bCs/>
          <w:sz w:val="24"/>
          <w:szCs w:val="24"/>
          <w:lang w:eastAsia="el-GR"/>
        </w:rPr>
        <w:t>πανδημίας</w:t>
      </w:r>
      <w:r w:rsidRPr="00E36734">
        <w:rPr>
          <w:rFonts w:ascii="Times New Roman" w:eastAsia="Times New Roman" w:hAnsi="Times New Roman" w:cs="Times New Roman"/>
          <w:bCs/>
          <w:sz w:val="24"/>
          <w:szCs w:val="24"/>
          <w:lang w:eastAsia="el-GR"/>
        </w:rPr>
        <w:t xml:space="preserve"> αναδεικνύει πως τα χρόνια διαρθρωτικά προβλήματα που αντιμετωπίζουν οι επιχειρήσεις αυτές, τα οποία εντάθηκαν κατά την προηγούμενη δεκαετή οικονομική κρίση, έχουν αποδυναμώσει τις δυνατότητες τους να ανταπεξέλθουν στις επιπτώσεις της νέας υφεσιακής περιόδου.  Τα ίδια κεφάλαια που διέθεταν</w:t>
      </w:r>
      <w:r w:rsidR="008C7FF0" w:rsidRPr="00E36734">
        <w:rPr>
          <w:rFonts w:ascii="Times New Roman" w:eastAsia="Times New Roman" w:hAnsi="Times New Roman" w:cs="Times New Roman"/>
          <w:bCs/>
          <w:sz w:val="24"/>
          <w:szCs w:val="24"/>
          <w:lang w:eastAsia="el-GR"/>
        </w:rPr>
        <w:t>,</w:t>
      </w:r>
      <w:r w:rsidRPr="00E36734">
        <w:rPr>
          <w:rFonts w:ascii="Times New Roman" w:eastAsia="Times New Roman" w:hAnsi="Times New Roman" w:cs="Times New Roman"/>
          <w:bCs/>
          <w:sz w:val="24"/>
          <w:szCs w:val="24"/>
          <w:lang w:eastAsia="el-GR"/>
        </w:rPr>
        <w:t xml:space="preserve"> κυρίως για επενδύσεις μικρής κλίμακας, φαίνεται πως έχουν αναλωθεί για την απορρόφηση των επιπτώσεων της υγειονομικής κρίσης</w:t>
      </w:r>
      <w:r w:rsidR="009F3A39" w:rsidRPr="00E36734">
        <w:rPr>
          <w:rFonts w:ascii="Times New Roman" w:eastAsia="Times New Roman" w:hAnsi="Times New Roman" w:cs="Times New Roman"/>
          <w:bCs/>
          <w:sz w:val="24"/>
          <w:szCs w:val="24"/>
          <w:lang w:eastAsia="el-GR"/>
        </w:rPr>
        <w:t>,</w:t>
      </w:r>
      <w:r w:rsidR="009F3A39" w:rsidRPr="00E36734">
        <w:t xml:space="preserve"> </w:t>
      </w:r>
      <w:r w:rsidR="009F3A39" w:rsidRPr="00E36734">
        <w:rPr>
          <w:rFonts w:ascii="Times New Roman" w:eastAsia="Times New Roman" w:hAnsi="Times New Roman" w:cs="Times New Roman"/>
          <w:bCs/>
          <w:sz w:val="24"/>
          <w:szCs w:val="24"/>
          <w:lang w:eastAsia="el-GR"/>
        </w:rPr>
        <w:t>παρά μάλιστα τα μέτρα που έχουν ληφθεί για τη στήριξη τους</w:t>
      </w:r>
      <w:r w:rsidR="00EB026B" w:rsidRPr="00E36734">
        <w:rPr>
          <w:rFonts w:ascii="Times New Roman" w:eastAsia="Times New Roman" w:hAnsi="Times New Roman" w:cs="Times New Roman"/>
          <w:bCs/>
          <w:sz w:val="24"/>
          <w:szCs w:val="24"/>
          <w:lang w:eastAsia="el-GR"/>
        </w:rPr>
        <w:t>.</w:t>
      </w:r>
      <w:r w:rsidRPr="00E36734">
        <w:rPr>
          <w:rFonts w:ascii="Times New Roman" w:eastAsia="Times New Roman" w:hAnsi="Times New Roman" w:cs="Times New Roman"/>
          <w:bCs/>
          <w:sz w:val="24"/>
          <w:szCs w:val="24"/>
          <w:lang w:eastAsia="el-GR"/>
        </w:rPr>
        <w:t xml:space="preserve"> </w:t>
      </w:r>
    </w:p>
    <w:p w14:paraId="49F43295" w14:textId="559C34BF" w:rsidR="008C7FF0" w:rsidRPr="00E36734" w:rsidRDefault="009A65CF" w:rsidP="008C7FF0">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Άλλωστε,</w:t>
      </w:r>
      <w:r w:rsidR="008C7FF0" w:rsidRPr="00E36734">
        <w:rPr>
          <w:rFonts w:ascii="Times New Roman" w:eastAsia="Times New Roman" w:hAnsi="Times New Roman" w:cs="Times New Roman"/>
          <w:bCs/>
          <w:sz w:val="24"/>
          <w:szCs w:val="24"/>
          <w:lang w:eastAsia="el-GR"/>
        </w:rPr>
        <w:t xml:space="preserve"> </w:t>
      </w:r>
      <w:r w:rsidRPr="00E36734">
        <w:rPr>
          <w:rFonts w:ascii="Times New Roman" w:eastAsia="Times New Roman" w:hAnsi="Times New Roman" w:cs="Times New Roman"/>
          <w:bCs/>
          <w:sz w:val="24"/>
          <w:szCs w:val="24"/>
          <w:lang w:eastAsia="el-GR"/>
        </w:rPr>
        <w:t>ένα μεγάλο μέρος των μέτρων που</w:t>
      </w:r>
      <w:r w:rsidR="008C7FF0" w:rsidRPr="00E36734">
        <w:rPr>
          <w:rFonts w:ascii="Times New Roman" w:eastAsia="Times New Roman" w:hAnsi="Times New Roman" w:cs="Times New Roman"/>
          <w:bCs/>
          <w:sz w:val="24"/>
          <w:szCs w:val="24"/>
          <w:lang w:eastAsia="el-GR"/>
        </w:rPr>
        <w:t xml:space="preserve"> έχουν ληφθεί για την στήριξη </w:t>
      </w:r>
      <w:r w:rsidRPr="00E36734">
        <w:rPr>
          <w:rFonts w:ascii="Times New Roman" w:eastAsia="Times New Roman" w:hAnsi="Times New Roman" w:cs="Times New Roman"/>
          <w:bCs/>
          <w:sz w:val="24"/>
          <w:szCs w:val="24"/>
          <w:lang w:eastAsia="el-GR"/>
        </w:rPr>
        <w:t>των επιχειρήσεων</w:t>
      </w:r>
      <w:r w:rsidR="008C7FF0" w:rsidRPr="00E36734">
        <w:rPr>
          <w:rFonts w:ascii="Times New Roman" w:eastAsia="Times New Roman" w:hAnsi="Times New Roman" w:cs="Times New Roman"/>
          <w:bCs/>
          <w:sz w:val="24"/>
          <w:szCs w:val="24"/>
          <w:lang w:eastAsia="el-GR"/>
        </w:rPr>
        <w:t xml:space="preserve"> αφορούν άμεσες ή έμμεσες μορφές ενίσχυσης της ρευστότητας τους, που πάρα την πρόσκαιρη και σε αρκετές περιπτώσεις μη επαρκή ανακούφιση που προσφέρουν, αποτελούν υποχρεώσεις που συσσωρεύονται σε ένα μάλιστα περιβάλλον έντονης αβεβαιότητας για το μέλλον. </w:t>
      </w:r>
    </w:p>
    <w:p w14:paraId="3705C8CA" w14:textId="3E6C76CB" w:rsidR="009A65CF" w:rsidRPr="00E36734" w:rsidRDefault="009A65CF" w:rsidP="00AC066D">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Αυτό φαίνεται και από την σημαντική αύξηση που καταγράφεται</w:t>
      </w:r>
      <w:r w:rsidR="005E5285" w:rsidRPr="00E36734">
        <w:rPr>
          <w:rFonts w:ascii="Times New Roman" w:eastAsia="Times New Roman" w:hAnsi="Times New Roman" w:cs="Times New Roman"/>
          <w:bCs/>
          <w:sz w:val="24"/>
          <w:szCs w:val="24"/>
          <w:lang w:eastAsia="el-GR"/>
        </w:rPr>
        <w:t xml:space="preserve"> στα ποσοστά των επιχειρήσεων που δηλώνουν πως δεν θα μπορέσουν να ανταποκριθούν στις μελλοντικές τους υποχρεώσεις. </w:t>
      </w:r>
      <w:r w:rsidRPr="00E36734">
        <w:rPr>
          <w:rFonts w:ascii="Times New Roman" w:eastAsia="Times New Roman" w:hAnsi="Times New Roman" w:cs="Times New Roman"/>
          <w:bCs/>
          <w:sz w:val="24"/>
          <w:szCs w:val="24"/>
          <w:lang w:eastAsia="el-GR"/>
        </w:rPr>
        <w:t xml:space="preserve"> </w:t>
      </w:r>
    </w:p>
    <w:p w14:paraId="72E3C85B" w14:textId="2C55602E" w:rsidR="005E5285" w:rsidRPr="00E36734" w:rsidRDefault="005E5285" w:rsidP="00F113F1">
      <w:pPr>
        <w:shd w:val="clear" w:color="auto" w:fill="FFFFFF"/>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Προκειμένου, λοιπόν, να αποφευχθούν τα χειρότερα και παράλληλα να επιβεβαιωθούν οι αισιόδοξες προβλέψεις,</w:t>
      </w:r>
      <w:r w:rsidR="00F113F1" w:rsidRPr="00E36734">
        <w:rPr>
          <w:rFonts w:ascii="Times New Roman" w:hAnsi="Times New Roman" w:cs="Times New Roman"/>
          <w:sz w:val="24"/>
          <w:szCs w:val="24"/>
        </w:rPr>
        <w:t xml:space="preserve"> </w:t>
      </w:r>
      <w:r w:rsidRPr="00E36734">
        <w:rPr>
          <w:rFonts w:ascii="Times New Roman" w:hAnsi="Times New Roman" w:cs="Times New Roman"/>
          <w:sz w:val="24"/>
          <w:szCs w:val="24"/>
        </w:rPr>
        <w:t>α</w:t>
      </w:r>
      <w:r w:rsidR="009A65CF" w:rsidRPr="00E36734">
        <w:rPr>
          <w:rFonts w:ascii="Times New Roman" w:hAnsi="Times New Roman" w:cs="Times New Roman"/>
          <w:sz w:val="24"/>
          <w:szCs w:val="24"/>
        </w:rPr>
        <w:t>παιτείται</w:t>
      </w:r>
      <w:r w:rsidRPr="00E36734">
        <w:rPr>
          <w:rFonts w:ascii="Times New Roman" w:hAnsi="Times New Roman" w:cs="Times New Roman"/>
          <w:sz w:val="24"/>
          <w:szCs w:val="24"/>
        </w:rPr>
        <w:t xml:space="preserve"> </w:t>
      </w:r>
      <w:r w:rsidR="009A65CF" w:rsidRPr="00E36734">
        <w:rPr>
          <w:rFonts w:ascii="Times New Roman" w:hAnsi="Times New Roman" w:cs="Times New Roman"/>
          <w:sz w:val="24"/>
          <w:szCs w:val="24"/>
        </w:rPr>
        <w:t>ένα συνεκτικό σχέδιο υποστήριξης των επιχειρήσεων</w:t>
      </w:r>
      <w:r w:rsidRPr="00E36734">
        <w:rPr>
          <w:rFonts w:ascii="Times New Roman" w:hAnsi="Times New Roman" w:cs="Times New Roman"/>
          <w:sz w:val="24"/>
          <w:szCs w:val="24"/>
        </w:rPr>
        <w:t xml:space="preserve">, ιδιαίτερα εκείνων που πλήττονται δυσανάλογα από τις επιπτώσεις της υγειονομικής κρίσης, </w:t>
      </w:r>
      <w:r w:rsidR="009A65CF" w:rsidRPr="00E36734">
        <w:rPr>
          <w:rFonts w:ascii="Times New Roman" w:hAnsi="Times New Roman" w:cs="Times New Roman"/>
          <w:sz w:val="24"/>
          <w:szCs w:val="24"/>
        </w:rPr>
        <w:t xml:space="preserve">για το διάστημα της σταδιακής επανεκκίνησης της ελληνικής οικονομίας. </w:t>
      </w:r>
      <w:r w:rsidRPr="00E36734">
        <w:rPr>
          <w:rFonts w:ascii="Times New Roman" w:hAnsi="Times New Roman" w:cs="Times New Roman"/>
          <w:sz w:val="24"/>
          <w:szCs w:val="24"/>
        </w:rPr>
        <w:t>Τ</w:t>
      </w:r>
      <w:r w:rsidR="009A65CF" w:rsidRPr="00E36734">
        <w:rPr>
          <w:rFonts w:ascii="Times New Roman" w:hAnsi="Times New Roman" w:cs="Times New Roman"/>
          <w:sz w:val="24"/>
          <w:szCs w:val="24"/>
        </w:rPr>
        <w:t xml:space="preserve">ο σχέδιο δράσης για την επόμενη μέρα θα πρέπει να εξυπηρετεί </w:t>
      </w:r>
      <w:r w:rsidR="00F113F1" w:rsidRPr="00E36734">
        <w:rPr>
          <w:rFonts w:ascii="Times New Roman" w:hAnsi="Times New Roman" w:cs="Times New Roman"/>
          <w:sz w:val="24"/>
          <w:szCs w:val="24"/>
        </w:rPr>
        <w:t>2 δέσμες μέτρων</w:t>
      </w:r>
      <w:r w:rsidR="009A65CF" w:rsidRPr="00E36734">
        <w:rPr>
          <w:rFonts w:ascii="Times New Roman" w:hAnsi="Times New Roman" w:cs="Times New Roman"/>
          <w:sz w:val="24"/>
          <w:szCs w:val="24"/>
        </w:rPr>
        <w:t xml:space="preserve">: </w:t>
      </w:r>
    </w:p>
    <w:p w14:paraId="4DFEE473" w14:textId="2A8BF8EE" w:rsidR="00F113F1" w:rsidRPr="00E36734" w:rsidRDefault="00F113F1" w:rsidP="00F113F1">
      <w:pPr>
        <w:shd w:val="clear" w:color="auto" w:fill="FFFFFF"/>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u w:val="single"/>
        </w:rPr>
        <w:t>1</w:t>
      </w:r>
      <w:r w:rsidRPr="00E36734">
        <w:rPr>
          <w:rFonts w:ascii="Times New Roman" w:hAnsi="Times New Roman" w:cs="Times New Roman"/>
          <w:sz w:val="24"/>
          <w:szCs w:val="24"/>
          <w:u w:val="single"/>
          <w:vertAlign w:val="superscript"/>
        </w:rPr>
        <w:t>η</w:t>
      </w:r>
      <w:r w:rsidRPr="00E36734">
        <w:rPr>
          <w:rFonts w:ascii="Times New Roman" w:hAnsi="Times New Roman" w:cs="Times New Roman"/>
          <w:sz w:val="24"/>
          <w:szCs w:val="24"/>
          <w:u w:val="single"/>
        </w:rPr>
        <w:t xml:space="preserve"> δέσμη</w:t>
      </w:r>
      <w:r w:rsidRPr="00E36734">
        <w:rPr>
          <w:rFonts w:ascii="Times New Roman" w:hAnsi="Times New Roman" w:cs="Times New Roman"/>
          <w:sz w:val="24"/>
          <w:szCs w:val="24"/>
        </w:rPr>
        <w:t xml:space="preserve">: </w:t>
      </w:r>
      <w:r w:rsidR="005E5285" w:rsidRPr="00E36734">
        <w:rPr>
          <w:rFonts w:ascii="Times New Roman" w:hAnsi="Times New Roman" w:cs="Times New Roman"/>
          <w:sz w:val="24"/>
          <w:szCs w:val="24"/>
        </w:rPr>
        <w:t>Ε</w:t>
      </w:r>
      <w:r w:rsidR="009A65CF" w:rsidRPr="00E36734">
        <w:rPr>
          <w:rFonts w:ascii="Times New Roman" w:hAnsi="Times New Roman" w:cs="Times New Roman"/>
          <w:sz w:val="24"/>
          <w:szCs w:val="24"/>
        </w:rPr>
        <w:t>παρκή ενίσχυση της ρευστότητας των επιχειρήσεων για να μπορέσουν να επανεκκινήσουν</w:t>
      </w:r>
      <w:r w:rsidR="005E5285" w:rsidRPr="00E36734">
        <w:rPr>
          <w:rFonts w:ascii="Times New Roman" w:hAnsi="Times New Roman" w:cs="Times New Roman"/>
          <w:sz w:val="24"/>
          <w:szCs w:val="24"/>
        </w:rPr>
        <w:t xml:space="preserve">. Ένα μέρος της χρηματοδότησης </w:t>
      </w:r>
      <w:r w:rsidR="00F45994" w:rsidRPr="00E36734">
        <w:rPr>
          <w:rFonts w:ascii="Times New Roman" w:hAnsi="Times New Roman" w:cs="Times New Roman"/>
          <w:sz w:val="24"/>
          <w:szCs w:val="24"/>
        </w:rPr>
        <w:t xml:space="preserve">αυτής </w:t>
      </w:r>
      <w:r w:rsidR="005E5285" w:rsidRPr="00E36734">
        <w:rPr>
          <w:rFonts w:ascii="Times New Roman" w:hAnsi="Times New Roman" w:cs="Times New Roman"/>
          <w:sz w:val="24"/>
          <w:szCs w:val="24"/>
        </w:rPr>
        <w:t xml:space="preserve">θα πρέπει να αφορά την κάλυψη των οφειλών που </w:t>
      </w:r>
      <w:r w:rsidRPr="00E36734">
        <w:rPr>
          <w:rFonts w:ascii="Times New Roman" w:hAnsi="Times New Roman" w:cs="Times New Roman"/>
          <w:sz w:val="24"/>
          <w:szCs w:val="24"/>
        </w:rPr>
        <w:t>δημιουργήθηκαν</w:t>
      </w:r>
      <w:r w:rsidR="005E5285" w:rsidRPr="00E36734">
        <w:rPr>
          <w:rFonts w:ascii="Times New Roman" w:hAnsi="Times New Roman" w:cs="Times New Roman"/>
          <w:sz w:val="24"/>
          <w:szCs w:val="24"/>
        </w:rPr>
        <w:t xml:space="preserve"> κατά την </w:t>
      </w:r>
      <w:r w:rsidRPr="00E36734">
        <w:rPr>
          <w:rFonts w:ascii="Times New Roman" w:hAnsi="Times New Roman" w:cs="Times New Roman"/>
          <w:sz w:val="24"/>
          <w:szCs w:val="24"/>
        </w:rPr>
        <w:t>διάρκεια</w:t>
      </w:r>
      <w:r w:rsidR="005E5285" w:rsidRPr="00E36734">
        <w:rPr>
          <w:rFonts w:ascii="Times New Roman" w:hAnsi="Times New Roman" w:cs="Times New Roman"/>
          <w:sz w:val="24"/>
          <w:szCs w:val="24"/>
        </w:rPr>
        <w:t xml:space="preserve"> της πανδημίας και να έχει τη μορφή της επιδότησης. </w:t>
      </w:r>
    </w:p>
    <w:p w14:paraId="461C130E" w14:textId="46E6200D" w:rsidR="009A65CF" w:rsidRPr="00E36734" w:rsidRDefault="00F113F1" w:rsidP="00F113F1">
      <w:pPr>
        <w:shd w:val="clear" w:color="auto" w:fill="FFFFFF"/>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u w:val="single"/>
        </w:rPr>
        <w:lastRenderedPageBreak/>
        <w:t>2</w:t>
      </w:r>
      <w:r w:rsidRPr="00E36734">
        <w:rPr>
          <w:rFonts w:ascii="Times New Roman" w:hAnsi="Times New Roman" w:cs="Times New Roman"/>
          <w:sz w:val="24"/>
          <w:szCs w:val="24"/>
          <w:u w:val="single"/>
          <w:vertAlign w:val="superscript"/>
        </w:rPr>
        <w:t>η</w:t>
      </w:r>
      <w:r w:rsidRPr="00E36734">
        <w:rPr>
          <w:rFonts w:ascii="Times New Roman" w:hAnsi="Times New Roman" w:cs="Times New Roman"/>
          <w:sz w:val="24"/>
          <w:szCs w:val="24"/>
          <w:u w:val="single"/>
        </w:rPr>
        <w:t xml:space="preserve"> δέσμη</w:t>
      </w:r>
      <w:r w:rsidRPr="00E36734">
        <w:rPr>
          <w:rFonts w:ascii="Times New Roman" w:hAnsi="Times New Roman" w:cs="Times New Roman"/>
          <w:sz w:val="24"/>
          <w:szCs w:val="24"/>
        </w:rPr>
        <w:t>: Π</w:t>
      </w:r>
      <w:r w:rsidR="009A65CF" w:rsidRPr="00E36734">
        <w:rPr>
          <w:rFonts w:ascii="Times New Roman" w:hAnsi="Times New Roman" w:cs="Times New Roman"/>
          <w:sz w:val="24"/>
          <w:szCs w:val="24"/>
        </w:rPr>
        <w:t xml:space="preserve">ρογράμματα επιδότησης του μη μισθολογικού ή/και του μισθολογικού κόστους για την </w:t>
      </w:r>
      <w:r w:rsidRPr="00E36734">
        <w:rPr>
          <w:rFonts w:ascii="Times New Roman" w:hAnsi="Times New Roman" w:cs="Times New Roman"/>
          <w:sz w:val="24"/>
          <w:szCs w:val="24"/>
        </w:rPr>
        <w:t>διατήρηση</w:t>
      </w:r>
      <w:r w:rsidR="009A65CF" w:rsidRPr="00E36734">
        <w:rPr>
          <w:rFonts w:ascii="Times New Roman" w:hAnsi="Times New Roman" w:cs="Times New Roman"/>
          <w:sz w:val="24"/>
          <w:szCs w:val="24"/>
        </w:rPr>
        <w:t xml:space="preserve"> των θέσεων εργασίας</w:t>
      </w:r>
      <w:r w:rsidRPr="00E36734">
        <w:rPr>
          <w:rFonts w:ascii="Times New Roman" w:hAnsi="Times New Roman" w:cs="Times New Roman"/>
          <w:sz w:val="24"/>
          <w:szCs w:val="24"/>
        </w:rPr>
        <w:t>.</w:t>
      </w:r>
    </w:p>
    <w:p w14:paraId="3E13E624" w14:textId="77777777" w:rsidR="009A65CF" w:rsidRPr="00E36734" w:rsidRDefault="009A65CF" w:rsidP="00F113F1">
      <w:pPr>
        <w:shd w:val="clear" w:color="auto" w:fill="FFFFFF"/>
        <w:spacing w:after="0" w:line="360" w:lineRule="auto"/>
        <w:jc w:val="both"/>
        <w:rPr>
          <w:rFonts w:ascii="Times New Roman" w:eastAsia="Times New Roman" w:hAnsi="Times New Roman" w:cs="Times New Roman"/>
          <w:sz w:val="24"/>
          <w:szCs w:val="24"/>
        </w:rPr>
      </w:pPr>
    </w:p>
    <w:p w14:paraId="7C510AA0" w14:textId="1A5E16EF" w:rsidR="00851D68" w:rsidRPr="00E36734" w:rsidRDefault="00143079" w:rsidP="00761263">
      <w:pPr>
        <w:spacing w:after="0" w:line="360" w:lineRule="auto"/>
        <w:jc w:val="both"/>
        <w:rPr>
          <w:rFonts w:ascii="Times New Roman" w:eastAsia="Times New Roman" w:hAnsi="Times New Roman" w:cs="Times New Roman"/>
          <w:b/>
          <w:bCs/>
          <w:color w:val="222222"/>
          <w:sz w:val="24"/>
          <w:szCs w:val="24"/>
          <w:lang w:eastAsia="el-GR"/>
        </w:rPr>
      </w:pPr>
      <w:r w:rsidRPr="00E36734">
        <w:rPr>
          <w:rFonts w:ascii="Times New Roman" w:eastAsia="Times New Roman" w:hAnsi="Times New Roman" w:cs="Times New Roman"/>
          <w:b/>
          <w:bCs/>
          <w:color w:val="222222"/>
          <w:sz w:val="24"/>
          <w:szCs w:val="24"/>
          <w:lang w:eastAsia="el-GR"/>
        </w:rPr>
        <w:t xml:space="preserve">Τα </w:t>
      </w:r>
      <w:r w:rsidR="00F45994" w:rsidRPr="00E36734">
        <w:rPr>
          <w:rFonts w:ascii="Times New Roman" w:eastAsia="Times New Roman" w:hAnsi="Times New Roman" w:cs="Times New Roman"/>
          <w:b/>
          <w:bCs/>
          <w:color w:val="222222"/>
          <w:sz w:val="24"/>
          <w:szCs w:val="24"/>
          <w:lang w:eastAsia="el-GR"/>
        </w:rPr>
        <w:t>σημαντικότερα</w:t>
      </w:r>
      <w:r w:rsidRPr="00E36734">
        <w:rPr>
          <w:rFonts w:ascii="Times New Roman" w:eastAsia="Times New Roman" w:hAnsi="Times New Roman" w:cs="Times New Roman"/>
          <w:b/>
          <w:bCs/>
          <w:color w:val="222222"/>
          <w:sz w:val="24"/>
          <w:szCs w:val="24"/>
          <w:lang w:eastAsia="el-GR"/>
        </w:rPr>
        <w:t xml:space="preserve"> ευρήματα της έρευνας</w:t>
      </w:r>
      <w:r w:rsidR="007A224C" w:rsidRPr="00E36734">
        <w:rPr>
          <w:rFonts w:ascii="Times New Roman" w:eastAsia="Times New Roman" w:hAnsi="Times New Roman" w:cs="Times New Roman"/>
          <w:b/>
          <w:bCs/>
          <w:color w:val="222222"/>
          <w:sz w:val="24"/>
          <w:szCs w:val="24"/>
          <w:lang w:eastAsia="el-GR"/>
        </w:rPr>
        <w:t xml:space="preserve"> κλίματος του ΙΜΕ ΓΣΕΒΕΕ</w:t>
      </w:r>
      <w:r w:rsidR="00F113F1" w:rsidRPr="00E36734">
        <w:rPr>
          <w:rFonts w:ascii="Times New Roman" w:eastAsia="Times New Roman" w:hAnsi="Times New Roman" w:cs="Times New Roman"/>
          <w:b/>
          <w:bCs/>
          <w:color w:val="222222"/>
          <w:sz w:val="24"/>
          <w:szCs w:val="24"/>
          <w:lang w:eastAsia="el-GR"/>
        </w:rPr>
        <w:t xml:space="preserve"> </w:t>
      </w:r>
      <w:r w:rsidR="007A224C" w:rsidRPr="00E36734">
        <w:rPr>
          <w:rFonts w:ascii="Times New Roman" w:eastAsia="Times New Roman" w:hAnsi="Times New Roman" w:cs="Times New Roman"/>
          <w:b/>
          <w:bCs/>
          <w:color w:val="222222"/>
          <w:sz w:val="24"/>
          <w:szCs w:val="24"/>
          <w:lang w:eastAsia="el-GR"/>
        </w:rPr>
        <w:t>είναι τα εξής:</w:t>
      </w:r>
    </w:p>
    <w:p w14:paraId="54FA9A77" w14:textId="77777777" w:rsidR="00A23BA0" w:rsidRPr="00E36734" w:rsidRDefault="00A23BA0" w:rsidP="00A9032A">
      <w:pPr>
        <w:spacing w:after="0" w:line="360" w:lineRule="auto"/>
        <w:jc w:val="both"/>
        <w:rPr>
          <w:rFonts w:ascii="Times New Roman" w:eastAsia="Times New Roman" w:hAnsi="Times New Roman" w:cs="Times New Roman"/>
          <w:b/>
          <w:color w:val="222222"/>
          <w:sz w:val="24"/>
          <w:szCs w:val="24"/>
          <w:u w:val="single"/>
          <w:lang w:eastAsia="el-GR"/>
        </w:rPr>
      </w:pPr>
    </w:p>
    <w:p w14:paraId="59D67B71" w14:textId="608485D3" w:rsidR="00A9032A" w:rsidRPr="00E36734" w:rsidRDefault="00460AC4" w:rsidP="00A9032A">
      <w:pPr>
        <w:spacing w:after="0" w:line="360" w:lineRule="auto"/>
        <w:jc w:val="both"/>
        <w:rPr>
          <w:rFonts w:ascii="Times New Roman" w:eastAsia="Times New Roman" w:hAnsi="Times New Roman" w:cs="Times New Roman"/>
          <w:b/>
          <w:color w:val="222222"/>
          <w:sz w:val="24"/>
          <w:szCs w:val="24"/>
          <w:u w:val="single"/>
          <w:lang w:eastAsia="el-GR"/>
        </w:rPr>
      </w:pPr>
      <w:r w:rsidRPr="00E36734">
        <w:rPr>
          <w:rFonts w:ascii="Times New Roman" w:eastAsia="Times New Roman" w:hAnsi="Times New Roman" w:cs="Times New Roman"/>
          <w:b/>
          <w:color w:val="222222"/>
          <w:sz w:val="24"/>
          <w:szCs w:val="24"/>
          <w:u w:val="single"/>
          <w:lang w:eastAsia="el-GR"/>
        </w:rPr>
        <w:t>Αποτίμηση εξαμήνου</w:t>
      </w:r>
      <w:r w:rsidR="00A62CBE" w:rsidRPr="00E36734">
        <w:rPr>
          <w:rFonts w:ascii="Times New Roman" w:eastAsia="Times New Roman" w:hAnsi="Times New Roman" w:cs="Times New Roman"/>
          <w:b/>
          <w:color w:val="222222"/>
          <w:sz w:val="24"/>
          <w:szCs w:val="24"/>
          <w:u w:val="single"/>
          <w:lang w:eastAsia="el-GR"/>
        </w:rPr>
        <w:t xml:space="preserve"> </w:t>
      </w:r>
    </w:p>
    <w:p w14:paraId="570ECEF6" w14:textId="77777777" w:rsidR="00A23BA0" w:rsidRPr="00E36734" w:rsidRDefault="00A23BA0" w:rsidP="00A9032A">
      <w:pPr>
        <w:spacing w:after="0" w:line="360" w:lineRule="auto"/>
        <w:jc w:val="both"/>
        <w:rPr>
          <w:rFonts w:ascii="Times New Roman" w:eastAsia="Times New Roman" w:hAnsi="Times New Roman" w:cs="Times New Roman"/>
          <w:b/>
          <w:color w:val="222222"/>
          <w:sz w:val="24"/>
          <w:szCs w:val="24"/>
          <w:u w:val="single"/>
          <w:lang w:eastAsia="el-GR"/>
        </w:rPr>
      </w:pPr>
    </w:p>
    <w:p w14:paraId="4C118925" w14:textId="3806DE81" w:rsidR="00460AC4" w:rsidRPr="00E36734" w:rsidRDefault="00A62CBE" w:rsidP="00761263">
      <w:pPr>
        <w:pStyle w:val="a5"/>
        <w:numPr>
          <w:ilvl w:val="0"/>
          <w:numId w:val="6"/>
        </w:numPr>
        <w:spacing w:after="0" w:line="360" w:lineRule="auto"/>
        <w:jc w:val="both"/>
        <w:rPr>
          <w:rFonts w:ascii="Times New Roman" w:eastAsia="Times New Roman" w:hAnsi="Times New Roman" w:cs="Times New Roman"/>
          <w:b/>
          <w:color w:val="222222"/>
          <w:sz w:val="24"/>
          <w:szCs w:val="24"/>
          <w:lang w:eastAsia="el-GR"/>
        </w:rPr>
      </w:pPr>
      <w:r w:rsidRPr="00E36734">
        <w:rPr>
          <w:rFonts w:ascii="Times New Roman" w:eastAsia="Times New Roman" w:hAnsi="Times New Roman" w:cs="Times New Roman"/>
          <w:b/>
          <w:color w:val="222222"/>
          <w:sz w:val="24"/>
          <w:szCs w:val="24"/>
          <w:lang w:eastAsia="el-GR"/>
        </w:rPr>
        <w:t xml:space="preserve">Βασικοί οικονομικοί δείκτες </w:t>
      </w:r>
    </w:p>
    <w:p w14:paraId="2B2EFE45" w14:textId="582A54F3" w:rsidR="00B775D9" w:rsidRPr="00E36734" w:rsidRDefault="00B775D9" w:rsidP="00C80938">
      <w:pPr>
        <w:pStyle w:val="a5"/>
        <w:numPr>
          <w:ilvl w:val="0"/>
          <w:numId w:val="18"/>
        </w:numPr>
        <w:spacing w:after="0" w:line="360" w:lineRule="auto"/>
        <w:ind w:left="360"/>
        <w:jc w:val="both"/>
        <w:rPr>
          <w:rFonts w:ascii="Times New Roman" w:eastAsia="Times New Roman" w:hAnsi="Times New Roman" w:cs="Times New Roman"/>
          <w:bCs/>
          <w:color w:val="222222"/>
          <w:sz w:val="24"/>
          <w:szCs w:val="24"/>
          <w:lang w:eastAsia="el-GR"/>
        </w:rPr>
      </w:pPr>
      <w:r w:rsidRPr="00E36734">
        <w:rPr>
          <w:rFonts w:ascii="Times New Roman" w:eastAsia="Times New Roman" w:hAnsi="Times New Roman" w:cs="Times New Roman"/>
          <w:bCs/>
          <w:color w:val="222222"/>
          <w:sz w:val="24"/>
          <w:szCs w:val="24"/>
          <w:lang w:eastAsia="el-GR"/>
        </w:rPr>
        <w:t>Ο γενικός δείκτης οικονομικού κλίματος το Β εξάμηνο του 2020 διατηρείται σε εξαιρετικά χαμηλό επίπεδο καθώς διαμορφώνεται στις 20,1 μονάδες</w:t>
      </w:r>
      <w:r w:rsidR="00C80938" w:rsidRPr="00E36734">
        <w:rPr>
          <w:rFonts w:ascii="Times New Roman" w:eastAsia="Times New Roman" w:hAnsi="Times New Roman" w:cs="Times New Roman"/>
          <w:bCs/>
          <w:color w:val="222222"/>
          <w:sz w:val="24"/>
          <w:szCs w:val="24"/>
          <w:lang w:eastAsia="el-GR"/>
        </w:rPr>
        <w:t>.</w:t>
      </w:r>
    </w:p>
    <w:p w14:paraId="1DBFB0E2" w14:textId="46056617" w:rsidR="00B775D9" w:rsidRPr="00E36734" w:rsidRDefault="00B775D9" w:rsidP="00C80938">
      <w:pPr>
        <w:pStyle w:val="a5"/>
        <w:numPr>
          <w:ilvl w:val="0"/>
          <w:numId w:val="18"/>
        </w:numPr>
        <w:spacing w:after="0" w:line="360" w:lineRule="auto"/>
        <w:ind w:left="360"/>
        <w:jc w:val="both"/>
        <w:rPr>
          <w:rFonts w:ascii="Times New Roman" w:eastAsia="Times New Roman" w:hAnsi="Times New Roman" w:cs="Times New Roman"/>
          <w:bCs/>
          <w:color w:val="222222"/>
          <w:sz w:val="24"/>
          <w:szCs w:val="24"/>
          <w:lang w:eastAsia="el-GR"/>
        </w:rPr>
      </w:pPr>
      <w:r w:rsidRPr="00E36734">
        <w:rPr>
          <w:rFonts w:ascii="Times New Roman" w:eastAsia="Times New Roman" w:hAnsi="Times New Roman" w:cs="Times New Roman"/>
          <w:bCs/>
          <w:color w:val="222222"/>
          <w:sz w:val="24"/>
          <w:szCs w:val="24"/>
          <w:lang w:eastAsia="el-GR"/>
        </w:rPr>
        <w:t>8 στις 10 επιχειρήσεις (79,8%) δήλωσαν πως η οικονομική κατάσταση τους επιδεινώθηκε, έναντι μόλις 4,2% που δήλωσε ότι βελτιώθηκε και 15,9% που δήλωσε πως παρέμεινε αμετάβλητη</w:t>
      </w:r>
      <w:r w:rsidR="00C80938" w:rsidRPr="00E36734">
        <w:rPr>
          <w:rFonts w:ascii="Times New Roman" w:eastAsia="Times New Roman" w:hAnsi="Times New Roman" w:cs="Times New Roman"/>
          <w:bCs/>
          <w:color w:val="222222"/>
          <w:sz w:val="24"/>
          <w:szCs w:val="24"/>
          <w:lang w:eastAsia="el-GR"/>
        </w:rPr>
        <w:t>.</w:t>
      </w:r>
    </w:p>
    <w:p w14:paraId="478FAD04" w14:textId="6B88E67F" w:rsidR="00460AC4" w:rsidRPr="00E36734" w:rsidRDefault="00B775D9" w:rsidP="00C80938">
      <w:pPr>
        <w:pStyle w:val="a5"/>
        <w:numPr>
          <w:ilvl w:val="0"/>
          <w:numId w:val="5"/>
        </w:numPr>
        <w:spacing w:after="0" w:line="360" w:lineRule="auto"/>
        <w:ind w:left="360"/>
        <w:jc w:val="both"/>
        <w:rPr>
          <w:rFonts w:ascii="Times New Roman" w:eastAsia="Times New Roman" w:hAnsi="Times New Roman" w:cs="Times New Roman"/>
          <w:color w:val="222222"/>
          <w:sz w:val="24"/>
          <w:szCs w:val="24"/>
          <w:lang w:eastAsia="el-GR"/>
        </w:rPr>
      </w:pPr>
      <w:r w:rsidRPr="00E36734">
        <w:rPr>
          <w:rFonts w:ascii="Times New Roman" w:eastAsia="Times New Roman" w:hAnsi="Times New Roman" w:cs="Times New Roman"/>
          <w:color w:val="222222"/>
          <w:sz w:val="24"/>
          <w:szCs w:val="24"/>
          <w:lang w:eastAsia="el-GR"/>
        </w:rPr>
        <w:t xml:space="preserve">7 στις 10 επιχειρήσεις (70,7%) δήλωσαν πως μειώθηκε ο τζίρος </w:t>
      </w:r>
      <w:r w:rsidR="00E22D6F" w:rsidRPr="00E36734">
        <w:rPr>
          <w:rFonts w:ascii="Times New Roman" w:eastAsia="Times New Roman" w:hAnsi="Times New Roman" w:cs="Times New Roman"/>
          <w:color w:val="222222"/>
          <w:sz w:val="24"/>
          <w:szCs w:val="24"/>
          <w:lang w:eastAsia="el-GR"/>
        </w:rPr>
        <w:t xml:space="preserve">τους </w:t>
      </w:r>
      <w:r w:rsidRPr="00E36734">
        <w:rPr>
          <w:rFonts w:ascii="Times New Roman" w:eastAsia="Times New Roman" w:hAnsi="Times New Roman" w:cs="Times New Roman"/>
          <w:color w:val="222222"/>
          <w:sz w:val="24"/>
          <w:szCs w:val="24"/>
          <w:lang w:eastAsia="el-GR"/>
        </w:rPr>
        <w:t>έναντι μόλις του 11,1% που δήλωσε πως αυξήθηκε και του 16,9% που δήλωσε πως παρέμεινε αμετάβλητος</w:t>
      </w:r>
      <w:r w:rsidR="00460AC4" w:rsidRPr="00E36734">
        <w:rPr>
          <w:rFonts w:ascii="Times New Roman" w:eastAsia="Times New Roman" w:hAnsi="Times New Roman" w:cs="Times New Roman"/>
          <w:color w:val="222222"/>
          <w:sz w:val="24"/>
          <w:szCs w:val="24"/>
          <w:lang w:eastAsia="el-GR"/>
        </w:rPr>
        <w:t>.</w:t>
      </w:r>
    </w:p>
    <w:p w14:paraId="7DFF8F24" w14:textId="606A3444" w:rsidR="00E22D6F" w:rsidRPr="00E36734" w:rsidRDefault="00E22D6F" w:rsidP="00C80938">
      <w:pPr>
        <w:pStyle w:val="a5"/>
        <w:numPr>
          <w:ilvl w:val="0"/>
          <w:numId w:val="5"/>
        </w:numPr>
        <w:spacing w:after="0" w:line="360" w:lineRule="auto"/>
        <w:ind w:left="360"/>
        <w:jc w:val="both"/>
        <w:rPr>
          <w:rFonts w:ascii="Times New Roman" w:eastAsia="Times New Roman" w:hAnsi="Times New Roman" w:cs="Times New Roman"/>
          <w:color w:val="222222"/>
          <w:sz w:val="24"/>
          <w:szCs w:val="24"/>
          <w:lang w:eastAsia="el-GR"/>
        </w:rPr>
      </w:pPr>
      <w:r w:rsidRPr="00E36734">
        <w:rPr>
          <w:rFonts w:ascii="Times New Roman" w:eastAsia="Times New Roman" w:hAnsi="Times New Roman" w:cs="Times New Roman"/>
          <w:color w:val="222222"/>
          <w:sz w:val="24"/>
          <w:szCs w:val="24"/>
          <w:lang w:eastAsia="el-GR"/>
        </w:rPr>
        <w:t>Ο κύκλος εργασιών μειώθηκε μεσοσταθμικά κατά 32,4% το Β εξάμηνο του 2020, έναντι 40,1% που είχε καταγραφεί το Α εξάμηνο</w:t>
      </w:r>
      <w:r w:rsidR="00685193" w:rsidRPr="00E36734">
        <w:rPr>
          <w:rFonts w:ascii="Times New Roman" w:eastAsia="Times New Roman" w:hAnsi="Times New Roman" w:cs="Times New Roman"/>
          <w:color w:val="222222"/>
          <w:sz w:val="24"/>
          <w:szCs w:val="24"/>
          <w:lang w:eastAsia="el-GR"/>
        </w:rPr>
        <w:t>.</w:t>
      </w:r>
    </w:p>
    <w:p w14:paraId="6563F343" w14:textId="6A5B200D" w:rsidR="00685193" w:rsidRPr="00E36734" w:rsidRDefault="00685193" w:rsidP="00C80938">
      <w:pPr>
        <w:pStyle w:val="a5"/>
        <w:numPr>
          <w:ilvl w:val="0"/>
          <w:numId w:val="5"/>
        </w:numPr>
        <w:spacing w:after="0" w:line="360" w:lineRule="auto"/>
        <w:ind w:left="360"/>
        <w:jc w:val="both"/>
        <w:rPr>
          <w:rFonts w:ascii="Times New Roman" w:eastAsia="Times New Roman" w:hAnsi="Times New Roman" w:cs="Times New Roman"/>
          <w:color w:val="222222"/>
          <w:sz w:val="24"/>
          <w:szCs w:val="24"/>
          <w:lang w:eastAsia="el-GR"/>
        </w:rPr>
      </w:pPr>
      <w:r w:rsidRPr="00E36734">
        <w:rPr>
          <w:rFonts w:ascii="Times New Roman" w:eastAsia="Times New Roman" w:hAnsi="Times New Roman" w:cs="Times New Roman"/>
          <w:color w:val="222222"/>
          <w:sz w:val="24"/>
          <w:szCs w:val="24"/>
          <w:lang w:eastAsia="el-GR"/>
        </w:rPr>
        <w:t>Δυσμενέστερη είναι κατάσταση που καταγράφεται στις επιχειρήσεις που ανέστειλαν τη λειτουργία τους με κρατική εντολή, καθώς 8 στις 10 επιχειρήσεις δήλωσαν πως το Β εξάμηνο του 2020 μειώθηκε ο τζίρος τους, ενώ αντίστοιχα είναι και τα στοιχεία των πληττόμενων βάσει ΚΑΔ επιχειρήσεων όπου το 74,4% δήλωσε πως κατέγραψε μείωση του τζίρου το Β εξάμηνο του 2020.</w:t>
      </w:r>
    </w:p>
    <w:p w14:paraId="4CA09192" w14:textId="6E47303E" w:rsidR="00685193" w:rsidRPr="00E36734" w:rsidRDefault="00685193" w:rsidP="00C80938">
      <w:pPr>
        <w:pStyle w:val="a5"/>
        <w:numPr>
          <w:ilvl w:val="0"/>
          <w:numId w:val="5"/>
        </w:numPr>
        <w:spacing w:after="0" w:line="360" w:lineRule="auto"/>
        <w:ind w:left="360"/>
        <w:jc w:val="both"/>
        <w:rPr>
          <w:rFonts w:ascii="Times New Roman" w:eastAsia="Times New Roman" w:hAnsi="Times New Roman" w:cs="Times New Roman"/>
          <w:color w:val="222222"/>
          <w:sz w:val="24"/>
          <w:szCs w:val="24"/>
          <w:lang w:eastAsia="el-GR"/>
        </w:rPr>
      </w:pPr>
      <w:r w:rsidRPr="00E36734">
        <w:rPr>
          <w:rFonts w:ascii="Times New Roman" w:eastAsia="Times New Roman" w:hAnsi="Times New Roman" w:cs="Times New Roman"/>
          <w:color w:val="222222"/>
          <w:sz w:val="24"/>
          <w:szCs w:val="24"/>
          <w:lang w:val="en-US" w:eastAsia="el-GR"/>
        </w:rPr>
        <w:t>H</w:t>
      </w:r>
      <w:r w:rsidRPr="00E36734">
        <w:rPr>
          <w:rFonts w:ascii="Times New Roman" w:eastAsia="Times New Roman" w:hAnsi="Times New Roman" w:cs="Times New Roman"/>
          <w:color w:val="222222"/>
          <w:sz w:val="24"/>
          <w:szCs w:val="24"/>
          <w:lang w:eastAsia="el-GR"/>
        </w:rPr>
        <w:t xml:space="preserve"> μεσοσταθμική μείωση του τζίρου των επιχειρήσεων που ανέστειλαν τη λειτουργία με κρατική εντολή ανήλθε στο 39,3% και των επιχειρήσεις εστίασης στο 44,2%</w:t>
      </w:r>
    </w:p>
    <w:p w14:paraId="209A62D8" w14:textId="0AB294E5" w:rsidR="00E22D6F" w:rsidRPr="00E36734" w:rsidRDefault="00E22D6F" w:rsidP="00C80938">
      <w:pPr>
        <w:pStyle w:val="a5"/>
        <w:numPr>
          <w:ilvl w:val="0"/>
          <w:numId w:val="5"/>
        </w:numPr>
        <w:spacing w:after="0" w:line="360" w:lineRule="auto"/>
        <w:ind w:left="360"/>
        <w:jc w:val="both"/>
        <w:rPr>
          <w:rFonts w:ascii="Times New Roman" w:eastAsia="Times New Roman" w:hAnsi="Times New Roman" w:cs="Times New Roman"/>
          <w:b/>
          <w:bCs/>
          <w:color w:val="222222"/>
          <w:sz w:val="24"/>
          <w:szCs w:val="24"/>
          <w:lang w:eastAsia="el-GR"/>
        </w:rPr>
      </w:pPr>
      <w:r w:rsidRPr="00E36734">
        <w:rPr>
          <w:rFonts w:ascii="Times New Roman" w:eastAsia="Times New Roman" w:hAnsi="Times New Roman" w:cs="Times New Roman"/>
          <w:b/>
          <w:bCs/>
          <w:color w:val="222222"/>
          <w:sz w:val="24"/>
          <w:szCs w:val="24"/>
          <w:lang w:eastAsia="el-GR"/>
        </w:rPr>
        <w:t>Οι επιχειρήσεις που δηλώνουν ετήσιο τζίρο κάτω από 50.000€ αυξήθηκαν το 2020 σε σχέση με το 2019 κατά 10 ποσοστιαίες μονάδες. Συγκεκριμένα, αντιστοιχούν στο 44,6% έναντι του 34,1% που ήταν το 2019.</w:t>
      </w:r>
    </w:p>
    <w:p w14:paraId="1555B690" w14:textId="19B1AA65" w:rsidR="00E22D6F" w:rsidRPr="00E36734" w:rsidRDefault="00E22D6F" w:rsidP="00C80938">
      <w:pPr>
        <w:pStyle w:val="a5"/>
        <w:numPr>
          <w:ilvl w:val="0"/>
          <w:numId w:val="5"/>
        </w:numPr>
        <w:spacing w:after="0" w:line="360" w:lineRule="auto"/>
        <w:ind w:left="360"/>
        <w:jc w:val="both"/>
        <w:rPr>
          <w:rFonts w:ascii="Times New Roman" w:eastAsia="Times New Roman" w:hAnsi="Times New Roman" w:cs="Times New Roman"/>
          <w:b/>
          <w:bCs/>
          <w:color w:val="222222"/>
          <w:sz w:val="24"/>
          <w:szCs w:val="24"/>
          <w:lang w:eastAsia="el-GR"/>
        </w:rPr>
      </w:pPr>
      <w:r w:rsidRPr="00E36734">
        <w:rPr>
          <w:rFonts w:ascii="Times New Roman" w:eastAsia="Times New Roman" w:hAnsi="Times New Roman" w:cs="Times New Roman"/>
          <w:b/>
          <w:bCs/>
          <w:color w:val="222222"/>
          <w:sz w:val="24"/>
          <w:szCs w:val="24"/>
          <w:lang w:eastAsia="el-GR"/>
        </w:rPr>
        <w:t>Διπλασιάστηκαν οι επιχειρήσεις που το</w:t>
      </w:r>
      <w:r w:rsidR="00C80938" w:rsidRPr="00E36734">
        <w:rPr>
          <w:rFonts w:ascii="Times New Roman" w:eastAsia="Times New Roman" w:hAnsi="Times New Roman" w:cs="Times New Roman"/>
          <w:b/>
          <w:bCs/>
          <w:color w:val="222222"/>
          <w:sz w:val="24"/>
          <w:szCs w:val="24"/>
          <w:lang w:eastAsia="el-GR"/>
        </w:rPr>
        <w:t xml:space="preserve"> </w:t>
      </w:r>
      <w:r w:rsidRPr="00E36734">
        <w:rPr>
          <w:rFonts w:ascii="Times New Roman" w:eastAsia="Times New Roman" w:hAnsi="Times New Roman" w:cs="Times New Roman"/>
          <w:b/>
          <w:bCs/>
          <w:color w:val="222222"/>
          <w:sz w:val="24"/>
          <w:szCs w:val="24"/>
          <w:lang w:eastAsia="el-GR"/>
        </w:rPr>
        <w:t>2020 σε σύγκριση με το 2019 κατέγραψαν ζημιές (47,8% το 2020 από 27,6% το 2019), ενώ υποδιπλασιάστηκαν οι επιχειρήσεις που κατέγραψαν κέρδη (27,3% το 2020 από 55,2% το 2019).</w:t>
      </w:r>
    </w:p>
    <w:p w14:paraId="2C9096AA" w14:textId="43F0CEB9" w:rsidR="00E22D6F" w:rsidRPr="00E36734" w:rsidRDefault="00E22D6F" w:rsidP="00C80938">
      <w:pPr>
        <w:pStyle w:val="a5"/>
        <w:numPr>
          <w:ilvl w:val="0"/>
          <w:numId w:val="5"/>
        </w:numPr>
        <w:spacing w:after="0" w:line="360" w:lineRule="auto"/>
        <w:ind w:left="360"/>
        <w:jc w:val="both"/>
        <w:rPr>
          <w:rFonts w:ascii="Times New Roman" w:eastAsia="Times New Roman" w:hAnsi="Times New Roman" w:cs="Times New Roman"/>
          <w:color w:val="222222"/>
          <w:sz w:val="24"/>
          <w:szCs w:val="24"/>
          <w:lang w:eastAsia="el-GR"/>
        </w:rPr>
      </w:pPr>
      <w:r w:rsidRPr="00E36734">
        <w:rPr>
          <w:rFonts w:ascii="Times New Roman" w:eastAsia="Times New Roman" w:hAnsi="Times New Roman" w:cs="Times New Roman"/>
          <w:color w:val="222222"/>
          <w:sz w:val="24"/>
          <w:szCs w:val="24"/>
          <w:lang w:eastAsia="el-GR"/>
        </w:rPr>
        <w:t xml:space="preserve">Το 66,8% δήλωσε πως κατά το Β εξάμηνο μειώθηκε η ζήτηση, έναντι του 13,7% που δήλωσε πως αυξήθηκε και του 19,1% που δήλωσε πως παρέμεινε αμετάβλητη. </w:t>
      </w:r>
    </w:p>
    <w:p w14:paraId="61871A11" w14:textId="78896B5C" w:rsidR="00E22D6F" w:rsidRPr="00E36734" w:rsidRDefault="00E22D6F" w:rsidP="00C80938">
      <w:pPr>
        <w:pStyle w:val="a5"/>
        <w:numPr>
          <w:ilvl w:val="0"/>
          <w:numId w:val="5"/>
        </w:numPr>
        <w:spacing w:after="0" w:line="360" w:lineRule="auto"/>
        <w:ind w:left="360"/>
        <w:jc w:val="both"/>
        <w:rPr>
          <w:rFonts w:ascii="Times New Roman" w:eastAsia="Times New Roman" w:hAnsi="Times New Roman" w:cs="Times New Roman"/>
          <w:color w:val="222222"/>
          <w:sz w:val="24"/>
          <w:szCs w:val="24"/>
          <w:lang w:eastAsia="el-GR"/>
        </w:rPr>
      </w:pPr>
      <w:r w:rsidRPr="00E36734">
        <w:rPr>
          <w:rFonts w:ascii="Times New Roman" w:eastAsia="Times New Roman" w:hAnsi="Times New Roman" w:cs="Times New Roman"/>
          <w:color w:val="222222"/>
          <w:sz w:val="24"/>
          <w:szCs w:val="24"/>
          <w:lang w:eastAsia="el-GR"/>
        </w:rPr>
        <w:lastRenderedPageBreak/>
        <w:t xml:space="preserve">Το 71,5% δήλωσε πως το Β εξάμηνο του 2020 μειώθηκαν οι παραγγελίες, έναντι του 9,2% που δήλωσε πως αυξήθηκαν και του17,7% που δήλωσε πως οι παραγγελίες παρέμειναν σταθερές.  </w:t>
      </w:r>
    </w:p>
    <w:p w14:paraId="4AE89AE9" w14:textId="2EF91A32" w:rsidR="00A9032A" w:rsidRPr="00E36734" w:rsidRDefault="00A9032A" w:rsidP="00C80938">
      <w:pPr>
        <w:pStyle w:val="a5"/>
        <w:numPr>
          <w:ilvl w:val="0"/>
          <w:numId w:val="5"/>
        </w:numPr>
        <w:spacing w:after="0" w:line="360" w:lineRule="auto"/>
        <w:ind w:left="360"/>
        <w:jc w:val="both"/>
        <w:rPr>
          <w:rFonts w:ascii="Times New Roman" w:eastAsia="Times New Roman" w:hAnsi="Times New Roman" w:cs="Times New Roman"/>
          <w:color w:val="222222"/>
          <w:sz w:val="24"/>
          <w:szCs w:val="24"/>
          <w:lang w:eastAsia="el-GR"/>
        </w:rPr>
      </w:pPr>
      <w:r w:rsidRPr="00E36734">
        <w:rPr>
          <w:rFonts w:ascii="Times New Roman" w:hAnsi="Times New Roman" w:cs="Times New Roman"/>
          <w:sz w:val="24"/>
          <w:szCs w:val="24"/>
        </w:rPr>
        <w:t>Το 74,9% των επιχειρήσεων δήλωσε ότι το Β εξάμηνο του 2020 μειώθηκε περεταίρω η ρευστότητα του, έναντι μόλις του 7,5% που δήλωσε ότι αυξήθηκε και του 16,9% που δήλωσε ότι δεν μεταβλήθηκε.</w:t>
      </w:r>
    </w:p>
    <w:p w14:paraId="3DBF86A9" w14:textId="77777777" w:rsidR="00A9032A" w:rsidRPr="00E36734" w:rsidRDefault="00A9032A" w:rsidP="00C80938">
      <w:pPr>
        <w:pStyle w:val="a5"/>
        <w:numPr>
          <w:ilvl w:val="0"/>
          <w:numId w:val="5"/>
        </w:numPr>
        <w:spacing w:after="0" w:line="360" w:lineRule="auto"/>
        <w:ind w:left="360"/>
        <w:jc w:val="both"/>
        <w:rPr>
          <w:rFonts w:ascii="Times New Roman" w:eastAsia="Times New Roman" w:hAnsi="Times New Roman" w:cs="Times New Roman"/>
          <w:b/>
          <w:bCs/>
          <w:color w:val="222222"/>
          <w:sz w:val="24"/>
          <w:szCs w:val="24"/>
          <w:lang w:eastAsia="el-GR"/>
        </w:rPr>
      </w:pPr>
      <w:r w:rsidRPr="00E36734">
        <w:rPr>
          <w:rFonts w:ascii="Times New Roman" w:eastAsia="Times New Roman" w:hAnsi="Times New Roman" w:cs="Times New Roman"/>
          <w:b/>
          <w:bCs/>
          <w:color w:val="222222"/>
          <w:sz w:val="24"/>
          <w:szCs w:val="24"/>
          <w:lang w:eastAsia="el-GR"/>
        </w:rPr>
        <w:t xml:space="preserve">Οι επιχειρήσεις που δεν έχουν καθόλου ταμειακά διαθέσιμα έχουν αυξηθεί κατά 10 ποσοστιαίες μονάδες, μέσα σε μόλις 1 εξάμηνο. </w:t>
      </w:r>
    </w:p>
    <w:p w14:paraId="256EC5A9" w14:textId="3C12AE37" w:rsidR="00A9032A" w:rsidRPr="00E36734" w:rsidRDefault="00A9032A" w:rsidP="00C80938">
      <w:pPr>
        <w:pStyle w:val="a5"/>
        <w:numPr>
          <w:ilvl w:val="0"/>
          <w:numId w:val="5"/>
        </w:numPr>
        <w:spacing w:after="0" w:line="360" w:lineRule="auto"/>
        <w:ind w:left="360"/>
        <w:jc w:val="both"/>
        <w:rPr>
          <w:rFonts w:ascii="Times New Roman" w:eastAsia="Times New Roman" w:hAnsi="Times New Roman" w:cs="Times New Roman"/>
          <w:b/>
          <w:bCs/>
          <w:color w:val="222222"/>
          <w:sz w:val="24"/>
          <w:szCs w:val="24"/>
          <w:lang w:eastAsia="el-GR"/>
        </w:rPr>
      </w:pPr>
      <w:r w:rsidRPr="00E36734">
        <w:rPr>
          <w:rFonts w:ascii="Times New Roman" w:eastAsia="Times New Roman" w:hAnsi="Times New Roman" w:cs="Times New Roman"/>
          <w:color w:val="222222"/>
          <w:sz w:val="24"/>
          <w:szCs w:val="24"/>
          <w:lang w:eastAsia="el-GR"/>
        </w:rPr>
        <w:t xml:space="preserve">Συγκεκριμένα σχεδόν 1 στις 4 επιχειρήσεις δεν έχει καθόλου ταμειακά διαθέσιμα, ενώ για επίσης 1 στις 4 επιχειρήσεις τα ταμειακά διαθέσιμα δεν επαρκούν για περισσότερο από ένα μήνα. Με άλλα λόγια, η </w:t>
      </w:r>
      <w:r w:rsidRPr="00E36734">
        <w:rPr>
          <w:rFonts w:ascii="Times New Roman" w:eastAsia="Times New Roman" w:hAnsi="Times New Roman" w:cs="Times New Roman"/>
          <w:b/>
          <w:bCs/>
          <w:color w:val="222222"/>
          <w:sz w:val="24"/>
          <w:szCs w:val="24"/>
          <w:lang w:eastAsia="el-GR"/>
        </w:rPr>
        <w:t>1 στις 2 μικρές και πολύ μικρές επιχειρήσεις έχουν ταμειακά διαθέσιμα το πολύ για ένα μήνα.</w:t>
      </w:r>
    </w:p>
    <w:p w14:paraId="58E6524B" w14:textId="77777777" w:rsidR="00685193" w:rsidRPr="00E36734" w:rsidRDefault="00685193" w:rsidP="00C80938">
      <w:pPr>
        <w:pStyle w:val="a5"/>
        <w:numPr>
          <w:ilvl w:val="0"/>
          <w:numId w:val="5"/>
        </w:numPr>
        <w:spacing w:after="0" w:line="360" w:lineRule="auto"/>
        <w:ind w:left="360"/>
        <w:jc w:val="both"/>
        <w:rPr>
          <w:rFonts w:ascii="Times New Roman" w:eastAsia="Times New Roman" w:hAnsi="Times New Roman" w:cs="Times New Roman"/>
          <w:b/>
          <w:bCs/>
          <w:color w:val="222222"/>
          <w:sz w:val="24"/>
          <w:szCs w:val="24"/>
          <w:lang w:eastAsia="el-GR"/>
        </w:rPr>
      </w:pPr>
      <w:r w:rsidRPr="00E36734">
        <w:rPr>
          <w:rFonts w:ascii="Times New Roman" w:eastAsia="Times New Roman" w:hAnsi="Times New Roman" w:cs="Times New Roman"/>
          <w:b/>
          <w:bCs/>
          <w:color w:val="222222"/>
          <w:sz w:val="24"/>
          <w:szCs w:val="24"/>
          <w:lang w:eastAsia="el-GR"/>
        </w:rPr>
        <w:t xml:space="preserve">Δυσμενέστερη είναι η εικόνα όσον αφορά τα ταμειακά διαθέσιμα το επιχειρήσεων που ανέστειλαν την λειτουργία τους με κρατική εντολή και ιδίως των επιχειρήσεων εστίασης. </w:t>
      </w:r>
    </w:p>
    <w:p w14:paraId="0ADD2334" w14:textId="77777777" w:rsidR="00685193" w:rsidRPr="00E36734" w:rsidRDefault="00685193" w:rsidP="00C80938">
      <w:pPr>
        <w:pStyle w:val="a5"/>
        <w:numPr>
          <w:ilvl w:val="0"/>
          <w:numId w:val="5"/>
        </w:numPr>
        <w:spacing w:after="0" w:line="360" w:lineRule="auto"/>
        <w:ind w:left="360"/>
        <w:jc w:val="both"/>
        <w:rPr>
          <w:rFonts w:ascii="Times New Roman" w:eastAsia="Times New Roman" w:hAnsi="Times New Roman" w:cs="Times New Roman"/>
          <w:b/>
          <w:bCs/>
          <w:color w:val="222222"/>
          <w:sz w:val="24"/>
          <w:szCs w:val="24"/>
          <w:lang w:eastAsia="el-GR"/>
        </w:rPr>
      </w:pPr>
      <w:r w:rsidRPr="00E36734">
        <w:rPr>
          <w:rFonts w:ascii="Times New Roman" w:eastAsia="Times New Roman" w:hAnsi="Times New Roman" w:cs="Times New Roman"/>
          <w:b/>
          <w:bCs/>
          <w:color w:val="222222"/>
          <w:sz w:val="24"/>
          <w:szCs w:val="24"/>
          <w:lang w:eastAsia="el-GR"/>
        </w:rPr>
        <w:t xml:space="preserve">Το 36,1% των επιχειρήσεων που ανέστειλαν την λειτουργία τους δεν έχουν καθόλου ρευστότητα, ενώ για το 22,5% τα ταμειακά διαθέσιμα επαρκούν το πολύ για ένα μήνα. </w:t>
      </w:r>
    </w:p>
    <w:p w14:paraId="33B238D7" w14:textId="16EFDC25" w:rsidR="00685193" w:rsidRPr="00E36734" w:rsidRDefault="00685193" w:rsidP="00C80938">
      <w:pPr>
        <w:pStyle w:val="a5"/>
        <w:numPr>
          <w:ilvl w:val="0"/>
          <w:numId w:val="5"/>
        </w:numPr>
        <w:spacing w:after="0" w:line="360" w:lineRule="auto"/>
        <w:ind w:left="360"/>
        <w:jc w:val="both"/>
        <w:rPr>
          <w:rFonts w:ascii="Times New Roman" w:eastAsia="Times New Roman" w:hAnsi="Times New Roman" w:cs="Times New Roman"/>
          <w:b/>
          <w:bCs/>
          <w:color w:val="222222"/>
          <w:sz w:val="24"/>
          <w:szCs w:val="24"/>
          <w:lang w:eastAsia="el-GR"/>
        </w:rPr>
      </w:pPr>
      <w:r w:rsidRPr="00E36734">
        <w:rPr>
          <w:rFonts w:ascii="Times New Roman" w:eastAsia="Times New Roman" w:hAnsi="Times New Roman" w:cs="Times New Roman"/>
          <w:b/>
          <w:bCs/>
          <w:color w:val="222222"/>
          <w:sz w:val="24"/>
          <w:szCs w:val="24"/>
          <w:lang w:eastAsia="el-GR"/>
        </w:rPr>
        <w:t>Χειρότερη φαίνεται πως είναι η κατάσταση για τις επιχειρήσεις εστίασης καθώς το 44,1% δεν έχει καθόλου ταμειακά διαθέσιμα, ενώ για το 19,2% επαρκούν το πολύ για ένα μήνα.</w:t>
      </w:r>
    </w:p>
    <w:p w14:paraId="38F81A55" w14:textId="2A23DA0B" w:rsidR="00A9032A" w:rsidRPr="00E36734" w:rsidRDefault="00A9032A" w:rsidP="00C80938">
      <w:pPr>
        <w:pStyle w:val="a5"/>
        <w:numPr>
          <w:ilvl w:val="0"/>
          <w:numId w:val="5"/>
        </w:numPr>
        <w:spacing w:after="0" w:line="360" w:lineRule="auto"/>
        <w:ind w:left="360"/>
        <w:jc w:val="both"/>
        <w:rPr>
          <w:rFonts w:ascii="Times New Roman" w:eastAsia="Times New Roman" w:hAnsi="Times New Roman" w:cs="Times New Roman"/>
          <w:color w:val="222222"/>
          <w:sz w:val="24"/>
          <w:szCs w:val="24"/>
          <w:lang w:eastAsia="el-GR"/>
        </w:rPr>
      </w:pPr>
      <w:r w:rsidRPr="00E36734">
        <w:rPr>
          <w:rFonts w:ascii="Times New Roman" w:eastAsia="Times New Roman" w:hAnsi="Times New Roman" w:cs="Times New Roman"/>
          <w:color w:val="222222"/>
          <w:sz w:val="24"/>
          <w:szCs w:val="24"/>
          <w:lang w:eastAsia="el-GR"/>
        </w:rPr>
        <w:t>Το 10,5% των επιχειρήσεων προχώρησε σε επενδύσεις το Β εξάμηνο του 2020, έναντι του 16.2% του αντίστοιχου περσινού διαστήματος.</w:t>
      </w:r>
    </w:p>
    <w:p w14:paraId="4FCEF232" w14:textId="713E8489" w:rsidR="00A9032A" w:rsidRPr="00E36734" w:rsidRDefault="00A9032A" w:rsidP="00C80938">
      <w:pPr>
        <w:pStyle w:val="a5"/>
        <w:numPr>
          <w:ilvl w:val="0"/>
          <w:numId w:val="5"/>
        </w:numPr>
        <w:spacing w:after="0" w:line="360" w:lineRule="auto"/>
        <w:ind w:left="360"/>
        <w:jc w:val="both"/>
        <w:rPr>
          <w:rFonts w:ascii="Times New Roman" w:eastAsia="Times New Roman" w:hAnsi="Times New Roman" w:cs="Times New Roman"/>
          <w:color w:val="222222"/>
          <w:sz w:val="24"/>
          <w:szCs w:val="24"/>
          <w:lang w:eastAsia="el-GR"/>
        </w:rPr>
      </w:pPr>
      <w:r w:rsidRPr="00E36734">
        <w:rPr>
          <w:rFonts w:ascii="Times New Roman" w:eastAsia="Times New Roman" w:hAnsi="Times New Roman" w:cs="Times New Roman"/>
          <w:color w:val="222222"/>
          <w:sz w:val="24"/>
          <w:szCs w:val="24"/>
          <w:lang w:eastAsia="el-GR"/>
        </w:rPr>
        <w:t>Το 6,2% των επιχειρήσεων δήλωσε πως αύξησε το προσωπικό του το Β εξάμηνο του 2020, έναντι του 9% που δήλωσε ότι το μείωσε και του 84,5% που το διατήρησε σταθερό.</w:t>
      </w:r>
    </w:p>
    <w:p w14:paraId="066F6AF8" w14:textId="77777777" w:rsidR="00A23BA0" w:rsidRPr="00E36734" w:rsidRDefault="00A23BA0" w:rsidP="00A23BA0">
      <w:pPr>
        <w:pStyle w:val="a5"/>
        <w:spacing w:after="0" w:line="360" w:lineRule="auto"/>
        <w:ind w:left="360"/>
        <w:jc w:val="both"/>
        <w:rPr>
          <w:rFonts w:ascii="Times New Roman" w:eastAsia="Times New Roman" w:hAnsi="Times New Roman" w:cs="Times New Roman"/>
          <w:color w:val="222222"/>
          <w:sz w:val="24"/>
          <w:szCs w:val="24"/>
          <w:lang w:eastAsia="el-GR"/>
        </w:rPr>
      </w:pPr>
    </w:p>
    <w:p w14:paraId="7906BC75" w14:textId="6D9342C7" w:rsidR="00A9032A" w:rsidRPr="00E36734" w:rsidRDefault="00A9032A" w:rsidP="00A9032A">
      <w:pPr>
        <w:pStyle w:val="a5"/>
        <w:numPr>
          <w:ilvl w:val="0"/>
          <w:numId w:val="6"/>
        </w:numPr>
        <w:spacing w:after="0" w:line="360" w:lineRule="auto"/>
        <w:jc w:val="both"/>
        <w:rPr>
          <w:rFonts w:ascii="Times New Roman" w:eastAsia="Times New Roman" w:hAnsi="Times New Roman" w:cs="Times New Roman"/>
          <w:b/>
          <w:bCs/>
          <w:color w:val="222222"/>
          <w:sz w:val="24"/>
          <w:szCs w:val="24"/>
          <w:lang w:eastAsia="el-GR"/>
        </w:rPr>
      </w:pPr>
      <w:r w:rsidRPr="00E36734">
        <w:rPr>
          <w:rFonts w:ascii="Times New Roman" w:eastAsia="Times New Roman" w:hAnsi="Times New Roman" w:cs="Times New Roman"/>
          <w:b/>
          <w:bCs/>
          <w:color w:val="222222"/>
          <w:sz w:val="24"/>
          <w:szCs w:val="24"/>
          <w:lang w:eastAsia="el-GR"/>
        </w:rPr>
        <w:t xml:space="preserve">Υποχρεώσεις/οφειλές </w:t>
      </w:r>
    </w:p>
    <w:p w14:paraId="59412422" w14:textId="0023698D" w:rsidR="00CB760D" w:rsidRPr="00E36734" w:rsidRDefault="00CB760D" w:rsidP="00C80938">
      <w:pPr>
        <w:pStyle w:val="a5"/>
        <w:numPr>
          <w:ilvl w:val="0"/>
          <w:numId w:val="5"/>
        </w:numPr>
        <w:spacing w:after="0" w:line="360" w:lineRule="auto"/>
        <w:ind w:left="360"/>
        <w:jc w:val="both"/>
        <w:rPr>
          <w:rFonts w:ascii="Times New Roman" w:eastAsia="Times New Roman" w:hAnsi="Times New Roman" w:cs="Times New Roman"/>
          <w:color w:val="222222"/>
          <w:sz w:val="24"/>
          <w:szCs w:val="24"/>
          <w:lang w:eastAsia="el-GR"/>
        </w:rPr>
      </w:pPr>
      <w:r w:rsidRPr="00E36734">
        <w:rPr>
          <w:rFonts w:ascii="Times New Roman" w:eastAsia="Times New Roman" w:hAnsi="Times New Roman" w:cs="Times New Roman"/>
          <w:color w:val="222222"/>
          <w:sz w:val="24"/>
          <w:szCs w:val="24"/>
          <w:lang w:eastAsia="el-GR"/>
        </w:rPr>
        <w:t>Υψηλά παραμένουν τα ποσοστά των επιχειρήσεων που δηλώνουν πως έχουν ληξιπρόθεσμες οφειλές, παρόλο που στις περισσότερες κατηγορίες υποχρεώσεων είναι μειωμένα σε σύγκριση με εκείνα της προηγούμενης εξαμηνιαίας έρευνας του ΙΜΕ ΓΣΕΒΕΕ (Ιούλιος 2020). Επιπλέον, και σε αυτούς τους δείκτες παρουσιάζονται σημαντικές διαφοροποιήσεις μεταξύ των επιχειρήσεων. Οι επιχειρήσεις που αντιμετωπίζουν μεγαλύτερα προβλήματα αποπληρωμής των υποχρεώσεων τους παρατηρούνται περισσότερο σε εκείνες που ανέστειλαν την λειτουργία τους με κρατική εντολή. Όπου έχουν ληφθεί αποτελεσματικά μέτρα για την ανακούφιση των επιχειρήσεων οι ληξιπρόθεσμες οφειλές φαίνεται πως έχουν συγκρατηθεί</w:t>
      </w:r>
      <w:r w:rsidR="005C06B9" w:rsidRPr="00E36734">
        <w:rPr>
          <w:rFonts w:ascii="Times New Roman" w:eastAsia="Times New Roman" w:hAnsi="Times New Roman" w:cs="Times New Roman"/>
          <w:color w:val="222222"/>
          <w:sz w:val="24"/>
          <w:szCs w:val="24"/>
          <w:lang w:eastAsia="el-GR"/>
        </w:rPr>
        <w:t>.</w:t>
      </w:r>
    </w:p>
    <w:p w14:paraId="6994E384" w14:textId="319C4DB2" w:rsidR="005C06B9" w:rsidRPr="00E36734" w:rsidRDefault="00C80938" w:rsidP="00C80938">
      <w:pPr>
        <w:pStyle w:val="a5"/>
        <w:numPr>
          <w:ilvl w:val="0"/>
          <w:numId w:val="5"/>
        </w:numPr>
        <w:spacing w:after="0" w:line="360" w:lineRule="auto"/>
        <w:ind w:left="360"/>
        <w:jc w:val="both"/>
        <w:rPr>
          <w:rFonts w:ascii="Times New Roman" w:eastAsia="Times New Roman" w:hAnsi="Times New Roman" w:cs="Times New Roman"/>
          <w:color w:val="222222"/>
          <w:sz w:val="24"/>
          <w:szCs w:val="24"/>
          <w:lang w:eastAsia="el-GR"/>
        </w:rPr>
      </w:pPr>
      <w:r w:rsidRPr="00E36734">
        <w:rPr>
          <w:rFonts w:ascii="Times New Roman" w:eastAsia="Times New Roman" w:hAnsi="Times New Roman" w:cs="Times New Roman"/>
          <w:color w:val="222222"/>
          <w:sz w:val="24"/>
          <w:szCs w:val="24"/>
          <w:lang w:eastAsia="el-GR"/>
        </w:rPr>
        <w:t>Γενικά</w:t>
      </w:r>
      <w:r w:rsidR="005C06B9" w:rsidRPr="00E36734">
        <w:rPr>
          <w:rFonts w:ascii="Times New Roman" w:eastAsia="Times New Roman" w:hAnsi="Times New Roman" w:cs="Times New Roman"/>
          <w:color w:val="222222"/>
          <w:sz w:val="24"/>
          <w:szCs w:val="24"/>
          <w:lang w:eastAsia="el-GR"/>
        </w:rPr>
        <w:t xml:space="preserve">, σχεδόν 1 στις 2 επιχειρήσεις (46,4%) φαίνεται πως έχει τουλάχιστον 1 ληξιπρόθεσμη οφειλή, 1 στις 4 επιχειρήσεις (21,6%) έχει ληξιπρόθεσμες οφειλές προς το Δημόσιο (εφορία και ασφαλιστικά </w:t>
      </w:r>
      <w:r w:rsidR="005C06B9" w:rsidRPr="00E36734">
        <w:rPr>
          <w:rFonts w:ascii="Times New Roman" w:eastAsia="Times New Roman" w:hAnsi="Times New Roman" w:cs="Times New Roman"/>
          <w:color w:val="222222"/>
          <w:sz w:val="24"/>
          <w:szCs w:val="24"/>
          <w:lang w:eastAsia="el-GR"/>
        </w:rPr>
        <w:lastRenderedPageBreak/>
        <w:t xml:space="preserve">ταμεία), ενώ επίσης 1 στις 4 επιχειρήσεις (19,7%) έχει ληξιπρόθεσμες οφειλές στις μισές τουλάχιστον από τις 8 κατηγορίες υποχρεώσεων της έρευνας. </w:t>
      </w:r>
    </w:p>
    <w:p w14:paraId="0466DAB4" w14:textId="7CCCD62B" w:rsidR="00CB760D" w:rsidRPr="00E36734" w:rsidRDefault="00CB760D" w:rsidP="00C80938">
      <w:pPr>
        <w:pStyle w:val="a5"/>
        <w:numPr>
          <w:ilvl w:val="0"/>
          <w:numId w:val="5"/>
        </w:numPr>
        <w:spacing w:after="0" w:line="360" w:lineRule="auto"/>
        <w:ind w:left="360"/>
        <w:jc w:val="both"/>
        <w:rPr>
          <w:rFonts w:ascii="Times New Roman" w:eastAsia="Times New Roman" w:hAnsi="Times New Roman" w:cs="Times New Roman"/>
          <w:color w:val="222222"/>
          <w:sz w:val="24"/>
          <w:szCs w:val="24"/>
          <w:lang w:eastAsia="el-GR"/>
        </w:rPr>
      </w:pPr>
      <w:r w:rsidRPr="00E36734">
        <w:rPr>
          <w:rFonts w:ascii="Times New Roman" w:eastAsia="Times New Roman" w:hAnsi="Times New Roman" w:cs="Times New Roman"/>
          <w:color w:val="222222"/>
          <w:sz w:val="24"/>
          <w:szCs w:val="24"/>
          <w:lang w:eastAsia="el-GR"/>
        </w:rPr>
        <w:t>1 στις 4 επιχειρήσεις (23,8%) δήλωσε πως έχει ληξιπρόθεσμες οφειλές προς την εφορία (ΦΠΑ, ΦΜΥ κλπ)</w:t>
      </w:r>
    </w:p>
    <w:p w14:paraId="78E0D3C6" w14:textId="77777777" w:rsidR="00CB760D" w:rsidRPr="00E36734" w:rsidRDefault="00CB760D" w:rsidP="00C80938">
      <w:pPr>
        <w:pStyle w:val="a5"/>
        <w:numPr>
          <w:ilvl w:val="0"/>
          <w:numId w:val="5"/>
        </w:numPr>
        <w:spacing w:after="0" w:line="360" w:lineRule="auto"/>
        <w:ind w:left="360"/>
        <w:jc w:val="both"/>
        <w:rPr>
          <w:rFonts w:ascii="Times New Roman" w:eastAsia="Times New Roman" w:hAnsi="Times New Roman" w:cs="Times New Roman"/>
          <w:color w:val="222222"/>
          <w:sz w:val="24"/>
          <w:szCs w:val="24"/>
          <w:lang w:eastAsia="el-GR"/>
        </w:rPr>
      </w:pPr>
      <w:r w:rsidRPr="00E36734">
        <w:rPr>
          <w:rFonts w:ascii="Times New Roman" w:eastAsia="Times New Roman" w:hAnsi="Times New Roman" w:cs="Times New Roman"/>
          <w:color w:val="222222"/>
          <w:sz w:val="24"/>
          <w:szCs w:val="24"/>
          <w:lang w:eastAsia="el-GR"/>
        </w:rPr>
        <w:t>1 στις 4 επιχειρήσεις (26,3%) δηλώνει πως έχει ληξιπρόθεσμες οφειλές προς τον πρώην ΟΑΕΕ</w:t>
      </w:r>
    </w:p>
    <w:p w14:paraId="64294F75" w14:textId="77777777" w:rsidR="00CB760D" w:rsidRPr="00E36734" w:rsidRDefault="00CB760D" w:rsidP="00C80938">
      <w:pPr>
        <w:pStyle w:val="a5"/>
        <w:numPr>
          <w:ilvl w:val="0"/>
          <w:numId w:val="5"/>
        </w:numPr>
        <w:spacing w:after="0" w:line="360" w:lineRule="auto"/>
        <w:ind w:left="360"/>
        <w:jc w:val="both"/>
        <w:rPr>
          <w:rFonts w:ascii="Times New Roman" w:eastAsia="Times New Roman" w:hAnsi="Times New Roman" w:cs="Times New Roman"/>
          <w:color w:val="222222"/>
          <w:sz w:val="24"/>
          <w:szCs w:val="24"/>
          <w:lang w:eastAsia="el-GR"/>
        </w:rPr>
      </w:pPr>
      <w:r w:rsidRPr="00E36734">
        <w:rPr>
          <w:rFonts w:ascii="Times New Roman" w:eastAsia="Times New Roman" w:hAnsi="Times New Roman" w:cs="Times New Roman"/>
          <w:color w:val="222222"/>
          <w:sz w:val="24"/>
          <w:szCs w:val="24"/>
          <w:lang w:eastAsia="el-GR"/>
        </w:rPr>
        <w:t>Το 14,9% των επιχειρήσεων που απασχολούν προσωπικό δήλωσε πώς έχει ληξιπρόθεσμες οφειλές προς το πρώην ΙΚΑ</w:t>
      </w:r>
    </w:p>
    <w:p w14:paraId="1FDA3783" w14:textId="77777777" w:rsidR="00CB760D" w:rsidRPr="00E36734" w:rsidRDefault="00CB760D" w:rsidP="00C80938">
      <w:pPr>
        <w:pStyle w:val="a5"/>
        <w:numPr>
          <w:ilvl w:val="0"/>
          <w:numId w:val="5"/>
        </w:numPr>
        <w:spacing w:after="0" w:line="360" w:lineRule="auto"/>
        <w:ind w:left="360"/>
        <w:jc w:val="both"/>
        <w:rPr>
          <w:rFonts w:ascii="Times New Roman" w:eastAsia="Times New Roman" w:hAnsi="Times New Roman" w:cs="Times New Roman"/>
          <w:color w:val="222222"/>
          <w:sz w:val="24"/>
          <w:szCs w:val="24"/>
          <w:lang w:eastAsia="el-GR"/>
        </w:rPr>
      </w:pPr>
      <w:r w:rsidRPr="00E36734">
        <w:rPr>
          <w:rFonts w:ascii="Times New Roman" w:eastAsia="Times New Roman" w:hAnsi="Times New Roman" w:cs="Times New Roman"/>
          <w:color w:val="222222"/>
          <w:sz w:val="24"/>
          <w:szCs w:val="24"/>
          <w:lang w:eastAsia="el-GR"/>
        </w:rPr>
        <w:t>το 32,9% των επιχειρήσεων που έχουν τραπεζικά δάνεια δήλωσε πως έχει καθυστερημένες οφειλές</w:t>
      </w:r>
    </w:p>
    <w:p w14:paraId="119067AC" w14:textId="77777777" w:rsidR="00CB760D" w:rsidRPr="00E36734" w:rsidRDefault="00CB760D" w:rsidP="00C80938">
      <w:pPr>
        <w:pStyle w:val="a5"/>
        <w:numPr>
          <w:ilvl w:val="0"/>
          <w:numId w:val="5"/>
        </w:numPr>
        <w:spacing w:after="0" w:line="360" w:lineRule="auto"/>
        <w:ind w:left="360"/>
        <w:jc w:val="both"/>
        <w:rPr>
          <w:rFonts w:ascii="Times New Roman" w:eastAsia="Times New Roman" w:hAnsi="Times New Roman" w:cs="Times New Roman"/>
          <w:color w:val="222222"/>
          <w:sz w:val="24"/>
          <w:szCs w:val="24"/>
          <w:lang w:eastAsia="el-GR"/>
        </w:rPr>
      </w:pPr>
      <w:r w:rsidRPr="00E36734">
        <w:rPr>
          <w:rFonts w:ascii="Times New Roman" w:eastAsia="Times New Roman" w:hAnsi="Times New Roman" w:cs="Times New Roman"/>
          <w:color w:val="222222"/>
          <w:sz w:val="24"/>
          <w:szCs w:val="24"/>
          <w:lang w:eastAsia="el-GR"/>
        </w:rPr>
        <w:t xml:space="preserve">το 23% των επιχειρήσεων που έχουν ενοίκιο δήλωσε πως έχει καθυστερημένες οφειλές </w:t>
      </w:r>
    </w:p>
    <w:p w14:paraId="14768EBC" w14:textId="3FB96D30" w:rsidR="00CB760D" w:rsidRPr="00E36734" w:rsidRDefault="00CB760D" w:rsidP="00CB760D">
      <w:pPr>
        <w:pStyle w:val="a5"/>
        <w:numPr>
          <w:ilvl w:val="0"/>
          <w:numId w:val="5"/>
        </w:numPr>
        <w:spacing w:after="0" w:line="360" w:lineRule="auto"/>
        <w:ind w:left="360"/>
        <w:jc w:val="both"/>
        <w:rPr>
          <w:rFonts w:ascii="Times New Roman" w:eastAsia="Times New Roman" w:hAnsi="Times New Roman" w:cs="Times New Roman"/>
          <w:color w:val="222222"/>
          <w:sz w:val="24"/>
          <w:szCs w:val="24"/>
          <w:lang w:eastAsia="el-GR"/>
        </w:rPr>
      </w:pPr>
      <w:r w:rsidRPr="00E36734">
        <w:rPr>
          <w:rFonts w:ascii="Times New Roman" w:eastAsia="Times New Roman" w:hAnsi="Times New Roman" w:cs="Times New Roman"/>
          <w:color w:val="222222"/>
          <w:sz w:val="24"/>
          <w:szCs w:val="24"/>
          <w:lang w:eastAsia="el-GR"/>
        </w:rPr>
        <w:t>Το 22,6% έχει καθυστερημένες οφειλές προς προμηθευτές</w:t>
      </w:r>
    </w:p>
    <w:p w14:paraId="491BAA3E" w14:textId="77777777" w:rsidR="00A23BA0" w:rsidRPr="00E36734" w:rsidRDefault="00A23BA0" w:rsidP="00CB760D">
      <w:pPr>
        <w:spacing w:after="0" w:line="360" w:lineRule="auto"/>
        <w:jc w:val="both"/>
        <w:rPr>
          <w:rFonts w:ascii="Times New Roman" w:eastAsia="Times New Roman" w:hAnsi="Times New Roman" w:cs="Times New Roman"/>
          <w:b/>
          <w:color w:val="222222"/>
          <w:sz w:val="24"/>
          <w:szCs w:val="24"/>
          <w:u w:val="single"/>
          <w:lang w:eastAsia="el-GR"/>
        </w:rPr>
      </w:pPr>
    </w:p>
    <w:p w14:paraId="38E2D628" w14:textId="453AD332" w:rsidR="00A23BA0" w:rsidRPr="00E36734" w:rsidRDefault="009A50FC" w:rsidP="00CB760D">
      <w:pPr>
        <w:spacing w:after="0" w:line="360" w:lineRule="auto"/>
        <w:jc w:val="both"/>
        <w:rPr>
          <w:rFonts w:ascii="Times New Roman" w:eastAsia="Times New Roman" w:hAnsi="Times New Roman" w:cs="Times New Roman"/>
          <w:b/>
          <w:color w:val="222222"/>
          <w:sz w:val="24"/>
          <w:szCs w:val="24"/>
          <w:lang w:eastAsia="el-GR"/>
        </w:rPr>
      </w:pPr>
      <w:r w:rsidRPr="00E36734">
        <w:rPr>
          <w:rFonts w:ascii="Times New Roman" w:eastAsia="Times New Roman" w:hAnsi="Times New Roman" w:cs="Times New Roman"/>
          <w:b/>
          <w:color w:val="222222"/>
          <w:sz w:val="24"/>
          <w:szCs w:val="24"/>
          <w:u w:val="single"/>
          <w:lang w:eastAsia="el-GR"/>
        </w:rPr>
        <w:t>Προσδοκίες για το επόμενο εξάμηνο</w:t>
      </w:r>
      <w:r w:rsidRPr="00E36734">
        <w:rPr>
          <w:rFonts w:ascii="Times New Roman" w:eastAsia="Times New Roman" w:hAnsi="Times New Roman" w:cs="Times New Roman"/>
          <w:b/>
          <w:color w:val="222222"/>
          <w:sz w:val="24"/>
          <w:szCs w:val="24"/>
          <w:lang w:eastAsia="el-GR"/>
        </w:rPr>
        <w:t xml:space="preserve"> </w:t>
      </w:r>
    </w:p>
    <w:p w14:paraId="7CC51195" w14:textId="77777777" w:rsidR="00A23BA0" w:rsidRPr="00E36734" w:rsidRDefault="00A23BA0" w:rsidP="00CB760D">
      <w:pPr>
        <w:spacing w:after="0" w:line="360" w:lineRule="auto"/>
        <w:jc w:val="both"/>
        <w:rPr>
          <w:rFonts w:ascii="Times New Roman" w:eastAsia="Times New Roman" w:hAnsi="Times New Roman" w:cs="Times New Roman"/>
          <w:b/>
          <w:color w:val="222222"/>
          <w:sz w:val="24"/>
          <w:szCs w:val="24"/>
          <w:lang w:eastAsia="el-GR"/>
        </w:rPr>
      </w:pPr>
    </w:p>
    <w:p w14:paraId="7974EA57" w14:textId="7C07062C" w:rsidR="009A50FC" w:rsidRPr="00E36734" w:rsidRDefault="009A50FC" w:rsidP="000948E7">
      <w:pPr>
        <w:pStyle w:val="a5"/>
        <w:numPr>
          <w:ilvl w:val="0"/>
          <w:numId w:val="6"/>
        </w:numPr>
        <w:spacing w:after="0" w:line="360" w:lineRule="auto"/>
        <w:jc w:val="both"/>
        <w:rPr>
          <w:rFonts w:ascii="Times New Roman" w:eastAsia="Times New Roman" w:hAnsi="Times New Roman" w:cs="Times New Roman"/>
          <w:b/>
          <w:color w:val="222222"/>
          <w:sz w:val="24"/>
          <w:szCs w:val="24"/>
          <w:lang w:eastAsia="el-GR"/>
        </w:rPr>
      </w:pPr>
      <w:r w:rsidRPr="00E36734">
        <w:rPr>
          <w:rFonts w:ascii="Times New Roman" w:eastAsia="Times New Roman" w:hAnsi="Times New Roman" w:cs="Times New Roman"/>
          <w:b/>
          <w:color w:val="222222"/>
          <w:sz w:val="24"/>
          <w:szCs w:val="24"/>
          <w:lang w:eastAsia="el-GR"/>
        </w:rPr>
        <w:t xml:space="preserve">Βιωσιμότητα επιχειρήσεων </w:t>
      </w:r>
      <w:r w:rsidR="00CB760D" w:rsidRPr="00E36734">
        <w:rPr>
          <w:rFonts w:ascii="Times New Roman" w:eastAsia="Times New Roman" w:hAnsi="Times New Roman" w:cs="Times New Roman"/>
          <w:b/>
          <w:color w:val="222222"/>
          <w:sz w:val="24"/>
          <w:szCs w:val="24"/>
          <w:lang w:eastAsia="el-GR"/>
        </w:rPr>
        <w:t>– Βασικοί οικονομικοί δείκτες</w:t>
      </w:r>
    </w:p>
    <w:p w14:paraId="154EF3C2" w14:textId="67A00163" w:rsidR="002452C5" w:rsidRPr="00E36734" w:rsidRDefault="00B841AC" w:rsidP="00A23BA0">
      <w:pPr>
        <w:pStyle w:val="a5"/>
        <w:numPr>
          <w:ilvl w:val="0"/>
          <w:numId w:val="8"/>
        </w:numPr>
        <w:spacing w:after="0" w:line="360" w:lineRule="auto"/>
        <w:ind w:left="360"/>
        <w:jc w:val="both"/>
        <w:rPr>
          <w:rFonts w:ascii="Times New Roman" w:hAnsi="Times New Roman" w:cs="Times New Roman"/>
          <w:sz w:val="24"/>
          <w:szCs w:val="24"/>
        </w:rPr>
      </w:pPr>
      <w:r w:rsidRPr="00B841AC">
        <w:rPr>
          <w:rFonts w:ascii="Times New Roman" w:hAnsi="Times New Roman" w:cs="Times New Roman"/>
          <w:sz w:val="24"/>
          <w:szCs w:val="24"/>
        </w:rPr>
        <w:t>4</w:t>
      </w:r>
      <w:r w:rsidR="00A62CBE" w:rsidRPr="00E36734">
        <w:rPr>
          <w:rFonts w:ascii="Times New Roman" w:hAnsi="Times New Roman" w:cs="Times New Roman"/>
          <w:sz w:val="24"/>
          <w:szCs w:val="24"/>
        </w:rPr>
        <w:t xml:space="preserve"> στις </w:t>
      </w:r>
      <w:r w:rsidRPr="00B841AC">
        <w:rPr>
          <w:rFonts w:ascii="Times New Roman" w:hAnsi="Times New Roman" w:cs="Times New Roman"/>
          <w:sz w:val="24"/>
          <w:szCs w:val="24"/>
        </w:rPr>
        <w:t>10</w:t>
      </w:r>
      <w:r w:rsidR="00CB760D" w:rsidRPr="00E36734">
        <w:rPr>
          <w:rFonts w:ascii="Times New Roman" w:hAnsi="Times New Roman" w:cs="Times New Roman"/>
          <w:sz w:val="24"/>
          <w:szCs w:val="24"/>
        </w:rPr>
        <w:t xml:space="preserve"> (38,2%)</w:t>
      </w:r>
      <w:r w:rsidR="00A62CBE" w:rsidRPr="00E36734">
        <w:rPr>
          <w:rFonts w:ascii="Times New Roman" w:hAnsi="Times New Roman" w:cs="Times New Roman"/>
          <w:sz w:val="24"/>
          <w:szCs w:val="24"/>
        </w:rPr>
        <w:t xml:space="preserve"> μικρές και πολύ μικρές επιχειρήσεις εκφράζουν τον φόβο για ενδεχόμενη διακοπή της δραστηριότητας τους κατά το επόμενο διάστημα.</w:t>
      </w:r>
    </w:p>
    <w:p w14:paraId="7F484B82" w14:textId="4B2FB4EC" w:rsidR="00A9032A" w:rsidRPr="00E36734" w:rsidRDefault="00A9032A" w:rsidP="00761263">
      <w:pPr>
        <w:pStyle w:val="a5"/>
        <w:numPr>
          <w:ilvl w:val="0"/>
          <w:numId w:val="8"/>
        </w:num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Το 53,6% των επιχειρήσεων περιμένει μείωση του κύκλου εργασιών, το 52,8% μείωση της ζήτησης, το 54,6% μείωση των παραγγελιών, το 56,7% μείωση της ρευστότητας, ενώ μόλις το 6% των επιχειρήσεων προτίθεται να κάνει κάποιου είδους επένδυση.</w:t>
      </w:r>
    </w:p>
    <w:p w14:paraId="003CA5FE" w14:textId="1A0F0111" w:rsidR="00A9032A" w:rsidRPr="00E36734" w:rsidRDefault="00CB760D" w:rsidP="00761263">
      <w:pPr>
        <w:pStyle w:val="a5"/>
        <w:numPr>
          <w:ilvl w:val="0"/>
          <w:numId w:val="8"/>
        </w:num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Τ</w:t>
      </w:r>
      <w:r w:rsidR="00A9032A" w:rsidRPr="00E36734">
        <w:rPr>
          <w:rFonts w:ascii="Times New Roman" w:hAnsi="Times New Roman" w:cs="Times New Roman"/>
          <w:sz w:val="24"/>
          <w:szCs w:val="24"/>
        </w:rPr>
        <w:t>ο 7,4% των μικρών και πολύ μικρών επιχειρήσεων εκτιμά πως θα κάνει προσλήψεις το Β εξάμηνο του 2021 έναντι του 3,4% που δηλώνει πως θα προχωρήσει σε μειώσεις προσωπικού</w:t>
      </w:r>
      <w:r w:rsidRPr="00E36734">
        <w:rPr>
          <w:rFonts w:ascii="Times New Roman" w:hAnsi="Times New Roman" w:cs="Times New Roman"/>
          <w:sz w:val="24"/>
          <w:szCs w:val="24"/>
        </w:rPr>
        <w:t xml:space="preserve"> και του 84,1% που δήλωσε πως θα το κρατήσει σταθερό.</w:t>
      </w:r>
    </w:p>
    <w:p w14:paraId="4CA8B826" w14:textId="53634CCD" w:rsidR="00685193" w:rsidRPr="00E36734" w:rsidRDefault="00685193" w:rsidP="00761263">
      <w:pPr>
        <w:pStyle w:val="a5"/>
        <w:numPr>
          <w:ilvl w:val="0"/>
          <w:numId w:val="8"/>
        </w:num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Το 63,1% των επιχειρήσεων θεωρεί πως η οικονομική κρίση που έχει προκαλέσει η πανδημία θα διαρκέσει για τουλάχιστον 2 χρόνια με τους επιχειρηματίες της εστίασης να καταγράφουν το μεγαλύτερο ποσοστό απαισιοδοξίας (</w:t>
      </w:r>
      <w:r w:rsidR="008D6CAD" w:rsidRPr="00E36734">
        <w:rPr>
          <w:rFonts w:ascii="Times New Roman" w:hAnsi="Times New Roman" w:cs="Times New Roman"/>
          <w:sz w:val="24"/>
          <w:szCs w:val="24"/>
        </w:rPr>
        <w:t>72%)</w:t>
      </w:r>
    </w:p>
    <w:p w14:paraId="20EDEA50" w14:textId="02A2AA3D" w:rsidR="005C06B9" w:rsidRPr="00E36734" w:rsidRDefault="005C06B9" w:rsidP="005C06B9">
      <w:pPr>
        <w:spacing w:after="0" w:line="360" w:lineRule="auto"/>
        <w:jc w:val="both"/>
        <w:rPr>
          <w:rFonts w:ascii="Times New Roman" w:hAnsi="Times New Roman" w:cs="Times New Roman"/>
          <w:sz w:val="24"/>
          <w:szCs w:val="24"/>
        </w:rPr>
      </w:pPr>
    </w:p>
    <w:p w14:paraId="35698BDA" w14:textId="144CDB55" w:rsidR="005C06B9" w:rsidRPr="00E36734" w:rsidRDefault="005C06B9" w:rsidP="005C06B9">
      <w:pPr>
        <w:pStyle w:val="a5"/>
        <w:numPr>
          <w:ilvl w:val="0"/>
          <w:numId w:val="6"/>
        </w:numPr>
        <w:spacing w:after="0" w:line="360" w:lineRule="auto"/>
        <w:jc w:val="both"/>
        <w:rPr>
          <w:rFonts w:ascii="Times New Roman" w:eastAsia="Times New Roman" w:hAnsi="Times New Roman" w:cs="Times New Roman"/>
          <w:b/>
          <w:bCs/>
          <w:color w:val="222222"/>
          <w:sz w:val="24"/>
          <w:szCs w:val="24"/>
          <w:lang w:eastAsia="el-GR"/>
        </w:rPr>
      </w:pPr>
      <w:r w:rsidRPr="00E36734">
        <w:rPr>
          <w:rFonts w:ascii="Times New Roman" w:eastAsia="Times New Roman" w:hAnsi="Times New Roman" w:cs="Times New Roman"/>
          <w:b/>
          <w:bCs/>
          <w:color w:val="222222"/>
          <w:sz w:val="24"/>
          <w:szCs w:val="24"/>
          <w:lang w:eastAsia="el-GR"/>
        </w:rPr>
        <w:t xml:space="preserve">Υποχρεώσεις/οφειλές </w:t>
      </w:r>
    </w:p>
    <w:p w14:paraId="157902A5" w14:textId="630B01D3" w:rsidR="00CB760D" w:rsidRPr="00E36734" w:rsidRDefault="00CB760D" w:rsidP="00CB760D">
      <w:pPr>
        <w:pStyle w:val="a5"/>
        <w:numPr>
          <w:ilvl w:val="0"/>
          <w:numId w:val="8"/>
        </w:num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 xml:space="preserve">Ως προς τις εκτιμήσεις των επιχειρήσεων για το επόμενο διάστημα η κατάσταση προδιαγράφεται ιδιαίτερα δυσοίωνη. Τα ποσοστά των επιχειρήσεων που εκτιμούν πως δεν θα μπορέσουν να ανταποκριθούν στις υποχρεώσεις το επόμενο διάστημα παρουσιάζουν σημαντική αύξηση σε όλες τις κατηγορίες υποχρεώσεων σε σύγκριση με την αντίστοιχη εξαμηνιαία έρευνα του Ιουλίου του 2020. </w:t>
      </w:r>
    </w:p>
    <w:p w14:paraId="5E673E92" w14:textId="11156B2A" w:rsidR="00CB760D" w:rsidRPr="00E36734" w:rsidRDefault="00CB760D" w:rsidP="00CB760D">
      <w:pPr>
        <w:pStyle w:val="a5"/>
        <w:numPr>
          <w:ilvl w:val="0"/>
          <w:numId w:val="8"/>
        </w:num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Περίπου 1 στις 3 επιχειρήσεις δήλωσε πως δεν θα μπορέσει να ανταποκριθεί:</w:t>
      </w:r>
    </w:p>
    <w:p w14:paraId="39D83D95" w14:textId="77777777" w:rsidR="00CB760D" w:rsidRPr="00E36734" w:rsidRDefault="00CB760D" w:rsidP="00CB760D">
      <w:pPr>
        <w:pStyle w:val="a5"/>
        <w:numPr>
          <w:ilvl w:val="1"/>
          <w:numId w:val="8"/>
        </w:num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στις ασφαλιστικές της υποχρεώσεις (31,3% προς τον πρώην ΟΑΕΕ και 24,2% προς το ΙΚΑ)</w:t>
      </w:r>
    </w:p>
    <w:p w14:paraId="37BF4F1A" w14:textId="77777777" w:rsidR="00CB760D" w:rsidRPr="00E36734" w:rsidRDefault="00CB760D" w:rsidP="00CB760D">
      <w:pPr>
        <w:pStyle w:val="a5"/>
        <w:numPr>
          <w:ilvl w:val="1"/>
          <w:numId w:val="8"/>
        </w:num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lastRenderedPageBreak/>
        <w:t>στις φορολογικές της υποχρεώσεις (30,1%)</w:t>
      </w:r>
    </w:p>
    <w:p w14:paraId="414A6758" w14:textId="77777777" w:rsidR="00CB760D" w:rsidRPr="00E36734" w:rsidRDefault="00CB760D" w:rsidP="00CB760D">
      <w:pPr>
        <w:pStyle w:val="a5"/>
        <w:numPr>
          <w:ilvl w:val="1"/>
          <w:numId w:val="8"/>
        </w:num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στις υποχρεώσεις ενοικίου (35,2%)</w:t>
      </w:r>
    </w:p>
    <w:p w14:paraId="5E6B7F12" w14:textId="77777777" w:rsidR="00CB760D" w:rsidRPr="00E36734" w:rsidRDefault="00CB760D" w:rsidP="00CB760D">
      <w:pPr>
        <w:pStyle w:val="a5"/>
        <w:numPr>
          <w:ilvl w:val="0"/>
          <w:numId w:val="8"/>
        </w:num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Περίπου 1 στις 4 επιχειρήσεις δήλωσε πως δεν θα μπορέσει να ανταποκριθεί:</w:t>
      </w:r>
    </w:p>
    <w:p w14:paraId="5CF6C927" w14:textId="77777777" w:rsidR="00CB760D" w:rsidRPr="00E36734" w:rsidRDefault="00CB760D" w:rsidP="005C06B9">
      <w:pPr>
        <w:pStyle w:val="a5"/>
        <w:numPr>
          <w:ilvl w:val="1"/>
          <w:numId w:val="8"/>
        </w:num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στις υποχρεώσεις προς προμηθευτές (26,6%)</w:t>
      </w:r>
    </w:p>
    <w:p w14:paraId="028FC16D" w14:textId="77777777" w:rsidR="00CB760D" w:rsidRPr="00E36734" w:rsidRDefault="00CB760D" w:rsidP="005C06B9">
      <w:pPr>
        <w:pStyle w:val="a5"/>
        <w:numPr>
          <w:ilvl w:val="1"/>
          <w:numId w:val="8"/>
        </w:num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στις υποχρεώσεις για λογαριασμούς ενέργειας (26,3%) και λοιπούς λογαριασμούς (25,1%)</w:t>
      </w:r>
    </w:p>
    <w:p w14:paraId="5FFC276C" w14:textId="77777777" w:rsidR="00CB760D" w:rsidRPr="00E36734" w:rsidRDefault="00CB760D" w:rsidP="00CB760D">
      <w:pPr>
        <w:pStyle w:val="a5"/>
        <w:numPr>
          <w:ilvl w:val="0"/>
          <w:numId w:val="8"/>
        </w:num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Σχεδόν 1 στις 2 (44,6%) από τις επιχειρήσεις που έχουν τραπεζικό δάνειο δήλωσε πως δεν θα μπορέσει να ανταποκριθεί στις υποχρεώσεις του το επόμενο διάστημα.</w:t>
      </w:r>
    </w:p>
    <w:p w14:paraId="7C00A5D8" w14:textId="4EC52380" w:rsidR="00CB760D" w:rsidRPr="00E36734" w:rsidRDefault="00CB760D" w:rsidP="00696AF7">
      <w:pPr>
        <w:spacing w:after="0" w:line="360" w:lineRule="auto"/>
        <w:ind w:left="360"/>
        <w:jc w:val="both"/>
        <w:rPr>
          <w:rFonts w:ascii="Times New Roman" w:hAnsi="Times New Roman" w:cs="Times New Roman"/>
          <w:sz w:val="24"/>
          <w:szCs w:val="24"/>
        </w:rPr>
      </w:pPr>
    </w:p>
    <w:p w14:paraId="7BEFD524" w14:textId="4FE35A62" w:rsidR="00696AF7" w:rsidRPr="00E36734" w:rsidRDefault="00696AF7" w:rsidP="00A23BA0">
      <w:pPr>
        <w:spacing w:after="0" w:line="360" w:lineRule="auto"/>
        <w:jc w:val="both"/>
        <w:rPr>
          <w:rFonts w:ascii="Times New Roman" w:hAnsi="Times New Roman" w:cs="Times New Roman"/>
          <w:b/>
          <w:bCs/>
          <w:sz w:val="24"/>
          <w:szCs w:val="24"/>
          <w:u w:val="single"/>
        </w:rPr>
      </w:pPr>
      <w:r w:rsidRPr="00E36734">
        <w:rPr>
          <w:rFonts w:ascii="Times New Roman" w:hAnsi="Times New Roman" w:cs="Times New Roman"/>
          <w:b/>
          <w:bCs/>
          <w:sz w:val="24"/>
          <w:szCs w:val="24"/>
          <w:u w:val="single"/>
        </w:rPr>
        <w:t>Μέτρα ενίσχυσης της ρευστότητας των επιχειρήσεων</w:t>
      </w:r>
    </w:p>
    <w:p w14:paraId="5481E8E3" w14:textId="77777777" w:rsidR="00696AF7" w:rsidRPr="00E36734" w:rsidRDefault="00696AF7" w:rsidP="00696AF7">
      <w:pPr>
        <w:pStyle w:val="a5"/>
        <w:numPr>
          <w:ilvl w:val="0"/>
          <w:numId w:val="19"/>
        </w:num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 xml:space="preserve">Οι επιστρεπτέες προκαταβολές θεωρούνται από το μεγαλύτερο μέρος των μικρών και πολύ μικρών επιχειρήσεων ως το σημαντικότερο μέτρο για την ενίσχυση τους. </w:t>
      </w:r>
    </w:p>
    <w:p w14:paraId="23B2C71A" w14:textId="17348292" w:rsidR="00696AF7" w:rsidRPr="00E36734" w:rsidRDefault="00696AF7" w:rsidP="00696AF7">
      <w:pPr>
        <w:pStyle w:val="a5"/>
        <w:numPr>
          <w:ilvl w:val="0"/>
          <w:numId w:val="19"/>
        </w:num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Σχεδόν 4 στις 10 μικρές και πολύ μικρές επιχειρήσεις ( 37,8%) θεωρούν πως οι επιστρεπτέες προκαταβολές είναι το σημαντικότερο μέτρο στήριξής και ακολουθούν η μείωση/απαλλαγή ενοικίου (14,6%) η αναστολή φορολογικών/ασφαλιστικών υποχρεώσεων (13,6%), η αναστολή συμβάσεων εργασίας (8%) η τραπεζική δανειοδότηση με την εγγύηση του ελληνικού δημοσίου (8%), η αναστολή πληρωμής επιταγών για 75 ημέρες (2,2%) ενώ τελευταία κατατάσσονται τα προγράμματα δημιουργίας νέων θέσεων εργασίας του ΟΑΕΔ (1,2%),  το πρόγραμμα δημιουργίας 100.000 θέσεων εργασίας (0,9%) και το πρόγραμμα ΣΥΝ-ΕΡΓΑΣΙΑ (0,3%)</w:t>
      </w:r>
    </w:p>
    <w:p w14:paraId="4D8BC78B" w14:textId="31711756" w:rsidR="00696AF7" w:rsidRPr="00E36734" w:rsidRDefault="00696AF7" w:rsidP="00696AF7">
      <w:pPr>
        <w:pStyle w:val="a5"/>
        <w:numPr>
          <w:ilvl w:val="0"/>
          <w:numId w:val="19"/>
        </w:num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Περισσότερες από 6 στις 10 επιχειρήσεις (63,7%) έκαναν χρήση των επιστρεπτέων προκαταβολών το προηγούμενο εξάμηνο και ακολουθούν οι ρυθμίσεις για την μείωση ενοικίου (38,8%), η αναστολή των φορολογικών υποχρεώσεων (22,5%) και η αναστολή πληρωμής επιταγών (9,5%)</w:t>
      </w:r>
    </w:p>
    <w:p w14:paraId="07EE49E3" w14:textId="7C83B686" w:rsidR="00696AF7" w:rsidRPr="00E36734" w:rsidRDefault="00696AF7" w:rsidP="00696AF7">
      <w:pPr>
        <w:pStyle w:val="a5"/>
        <w:numPr>
          <w:ilvl w:val="0"/>
          <w:numId w:val="19"/>
        </w:numPr>
        <w:spacing w:after="0" w:line="360" w:lineRule="auto"/>
        <w:jc w:val="both"/>
        <w:rPr>
          <w:rFonts w:ascii="Times New Roman" w:hAnsi="Times New Roman" w:cs="Times New Roman"/>
          <w:b/>
          <w:bCs/>
          <w:sz w:val="24"/>
          <w:szCs w:val="24"/>
        </w:rPr>
      </w:pPr>
      <w:r w:rsidRPr="00E36734">
        <w:rPr>
          <w:rFonts w:ascii="Times New Roman" w:hAnsi="Times New Roman" w:cs="Times New Roman"/>
          <w:b/>
          <w:bCs/>
          <w:sz w:val="24"/>
          <w:szCs w:val="24"/>
        </w:rPr>
        <w:t>Από το 63,7% των επιχειρήσεων που χρηματοδοτήθηκαν μέσω των επιστρεπτέων προκαταβολών:</w:t>
      </w:r>
    </w:p>
    <w:p w14:paraId="0673101E" w14:textId="7F7D01B4" w:rsidR="00696AF7" w:rsidRPr="00E36734" w:rsidRDefault="00696AF7" w:rsidP="00A23BA0">
      <w:pPr>
        <w:pStyle w:val="a5"/>
        <w:numPr>
          <w:ilvl w:val="1"/>
          <w:numId w:val="19"/>
        </w:numPr>
        <w:spacing w:after="0" w:line="360" w:lineRule="auto"/>
        <w:jc w:val="both"/>
        <w:rPr>
          <w:rFonts w:ascii="Times New Roman" w:hAnsi="Times New Roman" w:cs="Times New Roman"/>
          <w:b/>
          <w:bCs/>
          <w:sz w:val="24"/>
          <w:szCs w:val="24"/>
        </w:rPr>
      </w:pPr>
      <w:r w:rsidRPr="00E36734">
        <w:rPr>
          <w:rFonts w:ascii="Times New Roman" w:hAnsi="Times New Roman" w:cs="Times New Roman"/>
          <w:b/>
          <w:bCs/>
          <w:sz w:val="24"/>
          <w:szCs w:val="24"/>
        </w:rPr>
        <w:t>Το 54,1% έλαβ</w:t>
      </w:r>
      <w:r w:rsidR="00C80938" w:rsidRPr="00E36734">
        <w:rPr>
          <w:rFonts w:ascii="Times New Roman" w:hAnsi="Times New Roman" w:cs="Times New Roman"/>
          <w:b/>
          <w:bCs/>
          <w:sz w:val="24"/>
          <w:szCs w:val="24"/>
        </w:rPr>
        <w:t>ε</w:t>
      </w:r>
      <w:r w:rsidRPr="00E36734">
        <w:rPr>
          <w:rFonts w:ascii="Times New Roman" w:hAnsi="Times New Roman" w:cs="Times New Roman"/>
          <w:b/>
          <w:bCs/>
          <w:sz w:val="24"/>
          <w:szCs w:val="24"/>
        </w:rPr>
        <w:t xml:space="preserve"> χρηματοδότηση ύψους έως 5.000€, </w:t>
      </w:r>
    </w:p>
    <w:p w14:paraId="4A6D2820" w14:textId="7BAA995F" w:rsidR="00696AF7" w:rsidRPr="00E36734" w:rsidRDefault="00696AF7" w:rsidP="00F45994">
      <w:pPr>
        <w:pStyle w:val="a5"/>
        <w:numPr>
          <w:ilvl w:val="1"/>
          <w:numId w:val="19"/>
        </w:numPr>
        <w:spacing w:after="0" w:line="360" w:lineRule="auto"/>
        <w:jc w:val="both"/>
        <w:rPr>
          <w:rFonts w:ascii="Times New Roman" w:hAnsi="Times New Roman" w:cs="Times New Roman"/>
          <w:b/>
          <w:bCs/>
          <w:sz w:val="24"/>
          <w:szCs w:val="24"/>
        </w:rPr>
      </w:pPr>
      <w:r w:rsidRPr="00E36734">
        <w:rPr>
          <w:rFonts w:ascii="Times New Roman" w:hAnsi="Times New Roman" w:cs="Times New Roman"/>
          <w:b/>
          <w:bCs/>
          <w:sz w:val="24"/>
          <w:szCs w:val="24"/>
        </w:rPr>
        <w:t xml:space="preserve">Το 59% δήλωσε πως η ενίσχυση που έλαβε δεν ήταν αρκετή για να καλύψει ένα σημαντικό μέρος των αναγκών </w:t>
      </w:r>
      <w:r w:rsidR="00C80938" w:rsidRPr="00E36734">
        <w:rPr>
          <w:rFonts w:ascii="Times New Roman" w:hAnsi="Times New Roman" w:cs="Times New Roman"/>
          <w:b/>
          <w:bCs/>
          <w:sz w:val="24"/>
          <w:szCs w:val="24"/>
        </w:rPr>
        <w:t xml:space="preserve">τους. </w:t>
      </w:r>
    </w:p>
    <w:p w14:paraId="2BB9056B" w14:textId="58A93C26" w:rsidR="00696AF7" w:rsidRPr="00E36734" w:rsidRDefault="00696AF7" w:rsidP="00C80938">
      <w:pPr>
        <w:pStyle w:val="a5"/>
        <w:spacing w:after="0" w:line="360" w:lineRule="auto"/>
        <w:ind w:left="1440"/>
        <w:jc w:val="both"/>
        <w:rPr>
          <w:rFonts w:ascii="Times New Roman" w:hAnsi="Times New Roman" w:cs="Times New Roman"/>
          <w:sz w:val="24"/>
          <w:szCs w:val="24"/>
        </w:rPr>
      </w:pPr>
    </w:p>
    <w:p w14:paraId="2E706752" w14:textId="77777777" w:rsidR="00761263" w:rsidRPr="00E36734" w:rsidRDefault="00761263" w:rsidP="00761263">
      <w:pPr>
        <w:spacing w:after="0" w:line="360" w:lineRule="auto"/>
        <w:jc w:val="both"/>
        <w:rPr>
          <w:rFonts w:ascii="Times New Roman" w:eastAsia="Times New Roman" w:hAnsi="Times New Roman" w:cs="Times New Roman"/>
          <w:b/>
          <w:color w:val="E36C0A"/>
          <w:sz w:val="24"/>
          <w:szCs w:val="24"/>
          <w:lang w:eastAsia="el-GR"/>
        </w:rPr>
      </w:pPr>
    </w:p>
    <w:p w14:paraId="2F52B44B" w14:textId="77777777" w:rsidR="000948E7" w:rsidRPr="00E36734" w:rsidRDefault="000948E7" w:rsidP="00761263">
      <w:pPr>
        <w:spacing w:after="0" w:line="360" w:lineRule="auto"/>
        <w:jc w:val="both"/>
        <w:rPr>
          <w:rFonts w:ascii="Times New Roman" w:hAnsi="Times New Roman" w:cs="Times New Roman"/>
          <w:sz w:val="24"/>
          <w:szCs w:val="24"/>
        </w:rPr>
      </w:pPr>
    </w:p>
    <w:p w14:paraId="12DB77CB" w14:textId="77777777" w:rsidR="000948E7" w:rsidRPr="00E36734" w:rsidRDefault="000948E7" w:rsidP="00761263">
      <w:pPr>
        <w:spacing w:after="0" w:line="360" w:lineRule="auto"/>
        <w:jc w:val="both"/>
        <w:rPr>
          <w:rFonts w:ascii="Times New Roman" w:hAnsi="Times New Roman" w:cs="Times New Roman"/>
          <w:sz w:val="24"/>
          <w:szCs w:val="24"/>
        </w:rPr>
      </w:pPr>
    </w:p>
    <w:p w14:paraId="0FB33C49" w14:textId="77777777" w:rsidR="00ED02ED" w:rsidRPr="00E36734" w:rsidRDefault="00ED02ED" w:rsidP="00761263">
      <w:pPr>
        <w:spacing w:after="0" w:line="360" w:lineRule="auto"/>
        <w:jc w:val="both"/>
        <w:rPr>
          <w:rFonts w:ascii="Times New Roman" w:eastAsia="Times New Roman" w:hAnsi="Times New Roman" w:cs="Times New Roman"/>
          <w:b/>
          <w:color w:val="E36C0A"/>
          <w:sz w:val="24"/>
          <w:szCs w:val="24"/>
          <w:lang w:eastAsia="el-GR"/>
        </w:rPr>
      </w:pPr>
    </w:p>
    <w:p w14:paraId="63BBC760" w14:textId="77777777" w:rsidR="00ED02ED" w:rsidRPr="00E36734" w:rsidRDefault="00ED02ED" w:rsidP="00761263">
      <w:pPr>
        <w:spacing w:after="0" w:line="360" w:lineRule="auto"/>
        <w:jc w:val="both"/>
        <w:rPr>
          <w:rFonts w:ascii="Times New Roman" w:eastAsia="Times New Roman" w:hAnsi="Times New Roman" w:cs="Times New Roman"/>
          <w:b/>
          <w:color w:val="E36C0A"/>
          <w:sz w:val="24"/>
          <w:szCs w:val="24"/>
          <w:lang w:eastAsia="el-GR"/>
        </w:rPr>
      </w:pPr>
    </w:p>
    <w:p w14:paraId="68D0A355" w14:textId="77777777" w:rsidR="00ED02ED" w:rsidRPr="00E36734" w:rsidRDefault="00ED02ED" w:rsidP="00761263">
      <w:pPr>
        <w:spacing w:after="0" w:line="360" w:lineRule="auto"/>
        <w:jc w:val="both"/>
        <w:rPr>
          <w:rFonts w:ascii="Times New Roman" w:eastAsia="Times New Roman" w:hAnsi="Times New Roman" w:cs="Times New Roman"/>
          <w:b/>
          <w:color w:val="E36C0A"/>
          <w:sz w:val="24"/>
          <w:szCs w:val="24"/>
          <w:lang w:eastAsia="el-GR"/>
        </w:rPr>
      </w:pPr>
    </w:p>
    <w:p w14:paraId="21E429C3" w14:textId="4D66328E" w:rsidR="006D0D98" w:rsidRPr="00E36734" w:rsidRDefault="00A9257F" w:rsidP="00761263">
      <w:pPr>
        <w:spacing w:after="0" w:line="360" w:lineRule="auto"/>
        <w:jc w:val="both"/>
        <w:rPr>
          <w:rFonts w:ascii="Times New Roman" w:eastAsia="Times New Roman" w:hAnsi="Times New Roman" w:cs="Times New Roman"/>
          <w:b/>
          <w:color w:val="1F497D" w:themeColor="text2"/>
          <w:sz w:val="28"/>
          <w:szCs w:val="28"/>
          <w:u w:val="single"/>
          <w:lang w:eastAsia="el-GR"/>
        </w:rPr>
      </w:pPr>
      <w:r w:rsidRPr="00E36734">
        <w:rPr>
          <w:rFonts w:ascii="Times New Roman" w:eastAsia="Times New Roman" w:hAnsi="Times New Roman" w:cs="Times New Roman"/>
          <w:b/>
          <w:color w:val="1F497D" w:themeColor="text2"/>
          <w:sz w:val="28"/>
          <w:szCs w:val="28"/>
          <w:u w:val="single"/>
          <w:lang w:eastAsia="el-GR"/>
        </w:rPr>
        <w:lastRenderedPageBreak/>
        <w:t xml:space="preserve">ΑΝΑΛΥΤΙΚΗ ΠΑΡΟΥΣΙΑΣΗ - ΑΠΟΤΕΛΕΣΜΑΤΑ ΕΡΕΥΝΑΣ </w:t>
      </w:r>
    </w:p>
    <w:p w14:paraId="7D573BF4" w14:textId="77777777" w:rsidR="00A9257F" w:rsidRPr="00E36734" w:rsidRDefault="00A9257F" w:rsidP="00761263">
      <w:pPr>
        <w:pStyle w:val="a5"/>
        <w:numPr>
          <w:ilvl w:val="0"/>
          <w:numId w:val="1"/>
        </w:numPr>
        <w:spacing w:after="0" w:line="360" w:lineRule="auto"/>
        <w:jc w:val="both"/>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sz w:val="24"/>
          <w:szCs w:val="24"/>
          <w:lang w:eastAsia="el-GR"/>
        </w:rPr>
        <w:t xml:space="preserve">ΑΠΟΤΙΜΗΣΗ </w:t>
      </w:r>
      <w:r w:rsidR="00D42B3B" w:rsidRPr="00E36734">
        <w:rPr>
          <w:rFonts w:ascii="Times New Roman" w:eastAsia="Times New Roman" w:hAnsi="Times New Roman" w:cs="Times New Roman"/>
          <w:b/>
          <w:sz w:val="24"/>
          <w:szCs w:val="24"/>
          <w:lang w:val="en-US" w:eastAsia="el-GR"/>
        </w:rPr>
        <w:t>B</w:t>
      </w:r>
      <w:r w:rsidRPr="00E36734">
        <w:rPr>
          <w:rFonts w:ascii="Times New Roman" w:eastAsia="Times New Roman" w:hAnsi="Times New Roman" w:cs="Times New Roman"/>
          <w:b/>
          <w:sz w:val="24"/>
          <w:szCs w:val="24"/>
          <w:lang w:eastAsia="el-GR"/>
        </w:rPr>
        <w:t xml:space="preserve"> ΕΞΑΜΗΝΟΥ </w:t>
      </w:r>
      <w:r w:rsidRPr="00E36734">
        <w:rPr>
          <w:rFonts w:ascii="Times New Roman" w:eastAsia="Times New Roman" w:hAnsi="Times New Roman" w:cs="Times New Roman"/>
          <w:b/>
          <w:sz w:val="24"/>
          <w:szCs w:val="24"/>
          <w:lang w:val="en-US" w:eastAsia="el-GR"/>
        </w:rPr>
        <w:t>2020</w:t>
      </w:r>
    </w:p>
    <w:p w14:paraId="506E6D6B" w14:textId="77DC5465" w:rsidR="00F87B2B" w:rsidRPr="00E36734" w:rsidRDefault="00F87B2B" w:rsidP="00F87B2B">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Οι επιπτώσεις της υγειονομικής κρίσης</w:t>
      </w:r>
      <w:r w:rsidR="0053342E" w:rsidRPr="00E36734">
        <w:rPr>
          <w:rFonts w:ascii="Times New Roman" w:eastAsia="Times New Roman" w:hAnsi="Times New Roman" w:cs="Times New Roman"/>
          <w:bCs/>
          <w:sz w:val="24"/>
          <w:szCs w:val="24"/>
          <w:lang w:eastAsia="el-GR"/>
        </w:rPr>
        <w:t>,</w:t>
      </w:r>
      <w:r w:rsidRPr="00E36734">
        <w:rPr>
          <w:rFonts w:ascii="Times New Roman" w:eastAsia="Times New Roman" w:hAnsi="Times New Roman" w:cs="Times New Roman"/>
          <w:bCs/>
          <w:sz w:val="24"/>
          <w:szCs w:val="24"/>
          <w:lang w:eastAsia="el-GR"/>
        </w:rPr>
        <w:t xml:space="preserve"> που στην οικονομία έχει εκδηλωθεί με την</w:t>
      </w:r>
      <w:r w:rsidR="001465D5" w:rsidRPr="00E36734">
        <w:rPr>
          <w:rFonts w:ascii="Times New Roman" w:eastAsia="Times New Roman" w:hAnsi="Times New Roman" w:cs="Times New Roman"/>
          <w:bCs/>
          <w:sz w:val="24"/>
          <w:szCs w:val="24"/>
          <w:lang w:eastAsia="el-GR"/>
        </w:rPr>
        <w:t xml:space="preserve"> μορφή της</w:t>
      </w:r>
      <w:r w:rsidRPr="00E36734">
        <w:rPr>
          <w:rFonts w:ascii="Times New Roman" w:eastAsia="Times New Roman" w:hAnsi="Times New Roman" w:cs="Times New Roman"/>
          <w:bCs/>
          <w:sz w:val="24"/>
          <w:szCs w:val="24"/>
          <w:lang w:eastAsia="el-GR"/>
        </w:rPr>
        <w:t xml:space="preserve"> βαθ</w:t>
      </w:r>
      <w:r w:rsidR="001465D5" w:rsidRPr="00E36734">
        <w:rPr>
          <w:rFonts w:ascii="Times New Roman" w:eastAsia="Times New Roman" w:hAnsi="Times New Roman" w:cs="Times New Roman"/>
          <w:bCs/>
          <w:sz w:val="24"/>
          <w:szCs w:val="24"/>
          <w:lang w:eastAsia="el-GR"/>
        </w:rPr>
        <w:t>ι</w:t>
      </w:r>
      <w:r w:rsidRPr="00E36734">
        <w:rPr>
          <w:rFonts w:ascii="Times New Roman" w:eastAsia="Times New Roman" w:hAnsi="Times New Roman" w:cs="Times New Roman"/>
          <w:bCs/>
          <w:sz w:val="24"/>
          <w:szCs w:val="24"/>
          <w:lang w:eastAsia="el-GR"/>
        </w:rPr>
        <w:t>ά</w:t>
      </w:r>
      <w:r w:rsidR="001465D5" w:rsidRPr="00E36734">
        <w:rPr>
          <w:rFonts w:ascii="Times New Roman" w:eastAsia="Times New Roman" w:hAnsi="Times New Roman" w:cs="Times New Roman"/>
          <w:bCs/>
          <w:sz w:val="24"/>
          <w:szCs w:val="24"/>
          <w:lang w:eastAsia="el-GR"/>
        </w:rPr>
        <w:t>ς</w:t>
      </w:r>
      <w:r w:rsidRPr="00E36734">
        <w:rPr>
          <w:rFonts w:ascii="Times New Roman" w:eastAsia="Times New Roman" w:hAnsi="Times New Roman" w:cs="Times New Roman"/>
          <w:bCs/>
          <w:sz w:val="24"/>
          <w:szCs w:val="24"/>
          <w:lang w:eastAsia="el-GR"/>
        </w:rPr>
        <w:t xml:space="preserve"> και απότομη</w:t>
      </w:r>
      <w:r w:rsidR="001465D5" w:rsidRPr="00E36734">
        <w:rPr>
          <w:rFonts w:ascii="Times New Roman" w:eastAsia="Times New Roman" w:hAnsi="Times New Roman" w:cs="Times New Roman"/>
          <w:bCs/>
          <w:sz w:val="24"/>
          <w:szCs w:val="24"/>
          <w:lang w:eastAsia="el-GR"/>
        </w:rPr>
        <w:t>ς</w:t>
      </w:r>
      <w:r w:rsidRPr="00E36734">
        <w:rPr>
          <w:rFonts w:ascii="Times New Roman" w:eastAsia="Times New Roman" w:hAnsi="Times New Roman" w:cs="Times New Roman"/>
          <w:bCs/>
          <w:sz w:val="24"/>
          <w:szCs w:val="24"/>
          <w:lang w:eastAsia="el-GR"/>
        </w:rPr>
        <w:t xml:space="preserve"> </w:t>
      </w:r>
      <w:r w:rsidR="001465D5" w:rsidRPr="00E36734">
        <w:rPr>
          <w:rFonts w:ascii="Times New Roman" w:eastAsia="Times New Roman" w:hAnsi="Times New Roman" w:cs="Times New Roman"/>
          <w:bCs/>
          <w:sz w:val="24"/>
          <w:szCs w:val="24"/>
          <w:lang w:eastAsia="el-GR"/>
        </w:rPr>
        <w:t>ύφεσης</w:t>
      </w:r>
      <w:r w:rsidR="005E0770" w:rsidRPr="00E36734">
        <w:rPr>
          <w:rFonts w:ascii="Times New Roman" w:eastAsia="Times New Roman" w:hAnsi="Times New Roman" w:cs="Times New Roman"/>
          <w:bCs/>
          <w:sz w:val="24"/>
          <w:szCs w:val="24"/>
          <w:lang w:eastAsia="el-GR"/>
        </w:rPr>
        <w:t>, όπως είναι επόμενο,</w:t>
      </w:r>
      <w:r w:rsidR="001465D5" w:rsidRPr="00E36734">
        <w:rPr>
          <w:rFonts w:ascii="Times New Roman" w:eastAsia="Times New Roman" w:hAnsi="Times New Roman" w:cs="Times New Roman"/>
          <w:bCs/>
          <w:sz w:val="24"/>
          <w:szCs w:val="24"/>
          <w:lang w:eastAsia="el-GR"/>
        </w:rPr>
        <w:t xml:space="preserve"> έχουν επηρεάσει δυσμενώς την οικονομική κατάσταση των μικρών και πολύ μικρών επιχειρήσεων. Αυτό άλλωστε αποτυπώθηκε και στην αντίστοιχη έρευνα του ΙΜΕ ΓΣΕΒΕΕ για το Α εξάμηνο του 2020 όπου καταγράφηκε σοβαρή πτώση όλων των βασικών δεικτών που προσδιορίζουν την κατάσταση που βρίσκονται οι μικρές και πολύ μικρές επιχειρήσεις. </w:t>
      </w:r>
    </w:p>
    <w:p w14:paraId="5D043FDD" w14:textId="5FD829B4" w:rsidR="001465D5" w:rsidRPr="00E36734" w:rsidRDefault="001465D5" w:rsidP="00761263">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 xml:space="preserve">Τα ευρήματα της έρευνας για το Β εξάμηνο του 2020 </w:t>
      </w:r>
      <w:r w:rsidR="003B2986" w:rsidRPr="00E36734">
        <w:rPr>
          <w:rFonts w:ascii="Times New Roman" w:eastAsia="Times New Roman" w:hAnsi="Times New Roman" w:cs="Times New Roman"/>
          <w:bCs/>
          <w:sz w:val="24"/>
          <w:szCs w:val="24"/>
          <w:lang w:eastAsia="el-GR"/>
        </w:rPr>
        <w:t>καταδεικνύουν πως η</w:t>
      </w:r>
      <w:r w:rsidR="00C378B7" w:rsidRPr="00E36734">
        <w:rPr>
          <w:rFonts w:ascii="Times New Roman" w:eastAsia="Times New Roman" w:hAnsi="Times New Roman" w:cs="Times New Roman"/>
          <w:bCs/>
          <w:sz w:val="24"/>
          <w:szCs w:val="24"/>
          <w:lang w:eastAsia="el-GR"/>
        </w:rPr>
        <w:t xml:space="preserve"> κατάσταση</w:t>
      </w:r>
      <w:r w:rsidRPr="00E36734">
        <w:rPr>
          <w:rFonts w:ascii="Times New Roman" w:eastAsia="Times New Roman" w:hAnsi="Times New Roman" w:cs="Times New Roman"/>
          <w:bCs/>
          <w:sz w:val="24"/>
          <w:szCs w:val="24"/>
          <w:lang w:eastAsia="el-GR"/>
        </w:rPr>
        <w:t xml:space="preserve"> παραμένει </w:t>
      </w:r>
      <w:r w:rsidR="003B2986" w:rsidRPr="00E36734">
        <w:rPr>
          <w:rFonts w:ascii="Times New Roman" w:eastAsia="Times New Roman" w:hAnsi="Times New Roman" w:cs="Times New Roman"/>
          <w:bCs/>
          <w:sz w:val="24"/>
          <w:szCs w:val="24"/>
          <w:lang w:eastAsia="el-GR"/>
        </w:rPr>
        <w:t>δυσμενής</w:t>
      </w:r>
      <w:r w:rsidRPr="00E36734">
        <w:rPr>
          <w:rFonts w:ascii="Times New Roman" w:eastAsia="Times New Roman" w:hAnsi="Times New Roman" w:cs="Times New Roman"/>
          <w:bCs/>
          <w:sz w:val="24"/>
          <w:szCs w:val="24"/>
          <w:lang w:eastAsia="el-GR"/>
        </w:rPr>
        <w:t xml:space="preserve">. </w:t>
      </w:r>
    </w:p>
    <w:p w14:paraId="7CD1453D" w14:textId="2DDF0E11" w:rsidR="008C7FF0" w:rsidRPr="00E36734" w:rsidRDefault="001465D5" w:rsidP="008C7FF0">
      <w:pPr>
        <w:spacing w:after="0" w:line="360" w:lineRule="auto"/>
        <w:jc w:val="both"/>
        <w:rPr>
          <w:rFonts w:ascii="Times New Roman" w:eastAsia="Times New Roman" w:hAnsi="Times New Roman" w:cs="Times New Roman"/>
          <w:bCs/>
          <w:sz w:val="24"/>
          <w:szCs w:val="24"/>
          <w:lang w:eastAsia="el-GR"/>
        </w:rPr>
      </w:pPr>
      <w:bookmarkStart w:id="2" w:name="_Hlk68074308"/>
      <w:bookmarkStart w:id="3" w:name="_Hlk68074374"/>
      <w:r w:rsidRPr="00E36734">
        <w:rPr>
          <w:rFonts w:ascii="Times New Roman" w:eastAsia="Times New Roman" w:hAnsi="Times New Roman" w:cs="Times New Roman"/>
          <w:bCs/>
          <w:sz w:val="24"/>
          <w:szCs w:val="24"/>
          <w:lang w:eastAsia="el-GR"/>
        </w:rPr>
        <w:t>Ο γενικός δείκτης οικονομικού κλίματος το Β εξάμηνο του 2020 διατηρείται σε εξαιρετικά χαμηλό επίπεδο καθώς διαμορφώνεται στις 20,1 μονάδες</w:t>
      </w:r>
      <w:bookmarkEnd w:id="2"/>
      <w:r w:rsidRPr="00E36734">
        <w:rPr>
          <w:rFonts w:ascii="Times New Roman" w:eastAsia="Times New Roman" w:hAnsi="Times New Roman" w:cs="Times New Roman"/>
          <w:bCs/>
          <w:sz w:val="24"/>
          <w:szCs w:val="24"/>
          <w:lang w:eastAsia="el-GR"/>
        </w:rPr>
        <w:t xml:space="preserve">. </w:t>
      </w:r>
      <w:bookmarkEnd w:id="3"/>
    </w:p>
    <w:p w14:paraId="021FBD0C" w14:textId="70B04363" w:rsidR="005E0770" w:rsidRPr="00E36734" w:rsidRDefault="001538D2" w:rsidP="00761263">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 xml:space="preserve">Η εκδήλωση της πανδημικής κρίσης </w:t>
      </w:r>
      <w:r w:rsidR="00ED2A9D" w:rsidRPr="00E36734">
        <w:rPr>
          <w:rFonts w:ascii="Times New Roman" w:eastAsia="Times New Roman" w:hAnsi="Times New Roman" w:cs="Times New Roman"/>
          <w:bCs/>
          <w:sz w:val="24"/>
          <w:szCs w:val="24"/>
          <w:lang w:eastAsia="el-GR"/>
        </w:rPr>
        <w:t>αναδεικνύει</w:t>
      </w:r>
      <w:r w:rsidRPr="00E36734">
        <w:rPr>
          <w:rFonts w:ascii="Times New Roman" w:eastAsia="Times New Roman" w:hAnsi="Times New Roman" w:cs="Times New Roman"/>
          <w:bCs/>
          <w:sz w:val="24"/>
          <w:szCs w:val="24"/>
          <w:lang w:eastAsia="el-GR"/>
        </w:rPr>
        <w:t xml:space="preserve"> </w:t>
      </w:r>
      <w:r w:rsidR="005E0770" w:rsidRPr="00E36734">
        <w:rPr>
          <w:rFonts w:ascii="Times New Roman" w:eastAsia="Times New Roman" w:hAnsi="Times New Roman" w:cs="Times New Roman"/>
          <w:bCs/>
          <w:sz w:val="24"/>
          <w:szCs w:val="24"/>
          <w:lang w:eastAsia="el-GR"/>
        </w:rPr>
        <w:t xml:space="preserve">πως </w:t>
      </w:r>
      <w:r w:rsidRPr="00E36734">
        <w:rPr>
          <w:rFonts w:ascii="Times New Roman" w:eastAsia="Times New Roman" w:hAnsi="Times New Roman" w:cs="Times New Roman"/>
          <w:bCs/>
          <w:sz w:val="24"/>
          <w:szCs w:val="24"/>
          <w:lang w:eastAsia="el-GR"/>
        </w:rPr>
        <w:t xml:space="preserve">τα </w:t>
      </w:r>
      <w:r w:rsidR="005E0770" w:rsidRPr="00E36734">
        <w:rPr>
          <w:rFonts w:ascii="Times New Roman" w:eastAsia="Times New Roman" w:hAnsi="Times New Roman" w:cs="Times New Roman"/>
          <w:bCs/>
          <w:sz w:val="24"/>
          <w:szCs w:val="24"/>
          <w:lang w:eastAsia="el-GR"/>
        </w:rPr>
        <w:t xml:space="preserve">χρόνια διαρθρωτικά προβλήματα που αντιμετωπίζουν </w:t>
      </w:r>
      <w:r w:rsidR="008C7FF0" w:rsidRPr="00E36734">
        <w:rPr>
          <w:rFonts w:ascii="Times New Roman" w:eastAsia="Times New Roman" w:hAnsi="Times New Roman" w:cs="Times New Roman"/>
          <w:bCs/>
          <w:sz w:val="24"/>
          <w:szCs w:val="24"/>
          <w:lang w:eastAsia="el-GR"/>
        </w:rPr>
        <w:t xml:space="preserve">μικρές και πολύ μικρές </w:t>
      </w:r>
      <w:r w:rsidR="0053342E" w:rsidRPr="00E36734">
        <w:rPr>
          <w:rFonts w:ascii="Times New Roman" w:eastAsia="Times New Roman" w:hAnsi="Times New Roman" w:cs="Times New Roman"/>
          <w:bCs/>
          <w:sz w:val="24"/>
          <w:szCs w:val="24"/>
          <w:lang w:eastAsia="el-GR"/>
        </w:rPr>
        <w:t>επιχειρήσεις,</w:t>
      </w:r>
      <w:r w:rsidR="005E0770" w:rsidRPr="00E36734">
        <w:rPr>
          <w:rFonts w:ascii="Times New Roman" w:eastAsia="Times New Roman" w:hAnsi="Times New Roman" w:cs="Times New Roman"/>
          <w:bCs/>
          <w:sz w:val="24"/>
          <w:szCs w:val="24"/>
          <w:lang w:eastAsia="el-GR"/>
        </w:rPr>
        <w:t xml:space="preserve"> τα οποία εντάθηκαν κατά την προηγούμενη δεκαετή οικονομική κρίση</w:t>
      </w:r>
      <w:r w:rsidR="0053342E" w:rsidRPr="00E36734">
        <w:rPr>
          <w:rFonts w:ascii="Times New Roman" w:eastAsia="Times New Roman" w:hAnsi="Times New Roman" w:cs="Times New Roman"/>
          <w:bCs/>
          <w:sz w:val="24"/>
          <w:szCs w:val="24"/>
          <w:lang w:eastAsia="el-GR"/>
        </w:rPr>
        <w:t>,</w:t>
      </w:r>
      <w:r w:rsidR="005E0770" w:rsidRPr="00E36734">
        <w:rPr>
          <w:rFonts w:ascii="Times New Roman" w:eastAsia="Times New Roman" w:hAnsi="Times New Roman" w:cs="Times New Roman"/>
          <w:bCs/>
          <w:sz w:val="24"/>
          <w:szCs w:val="24"/>
          <w:lang w:eastAsia="el-GR"/>
        </w:rPr>
        <w:t xml:space="preserve"> έχουν </w:t>
      </w:r>
      <w:r w:rsidR="0053342E" w:rsidRPr="00E36734">
        <w:rPr>
          <w:rFonts w:ascii="Times New Roman" w:eastAsia="Times New Roman" w:hAnsi="Times New Roman" w:cs="Times New Roman"/>
          <w:bCs/>
          <w:sz w:val="24"/>
          <w:szCs w:val="24"/>
          <w:lang w:eastAsia="el-GR"/>
        </w:rPr>
        <w:t>αποδυναμώσει</w:t>
      </w:r>
      <w:r w:rsidR="005E0770" w:rsidRPr="00E36734">
        <w:rPr>
          <w:rFonts w:ascii="Times New Roman" w:eastAsia="Times New Roman" w:hAnsi="Times New Roman" w:cs="Times New Roman"/>
          <w:bCs/>
          <w:sz w:val="24"/>
          <w:szCs w:val="24"/>
          <w:lang w:eastAsia="el-GR"/>
        </w:rPr>
        <w:t xml:space="preserve"> </w:t>
      </w:r>
      <w:r w:rsidR="0053342E" w:rsidRPr="00E36734">
        <w:rPr>
          <w:rFonts w:ascii="Times New Roman" w:eastAsia="Times New Roman" w:hAnsi="Times New Roman" w:cs="Times New Roman"/>
          <w:bCs/>
          <w:sz w:val="24"/>
          <w:szCs w:val="24"/>
          <w:lang w:eastAsia="el-GR"/>
        </w:rPr>
        <w:t>τις δυνατότητες</w:t>
      </w:r>
      <w:r w:rsidR="005E0770" w:rsidRPr="00E36734">
        <w:rPr>
          <w:rFonts w:ascii="Times New Roman" w:eastAsia="Times New Roman" w:hAnsi="Times New Roman" w:cs="Times New Roman"/>
          <w:bCs/>
          <w:sz w:val="24"/>
          <w:szCs w:val="24"/>
          <w:lang w:eastAsia="el-GR"/>
        </w:rPr>
        <w:t xml:space="preserve"> τους να ανταπεξέλθουν </w:t>
      </w:r>
      <w:r w:rsidR="006C1482" w:rsidRPr="00E36734">
        <w:rPr>
          <w:rFonts w:ascii="Times New Roman" w:eastAsia="Times New Roman" w:hAnsi="Times New Roman" w:cs="Times New Roman"/>
          <w:bCs/>
          <w:sz w:val="24"/>
          <w:szCs w:val="24"/>
          <w:lang w:eastAsia="el-GR"/>
        </w:rPr>
        <w:t>σ</w:t>
      </w:r>
      <w:r w:rsidR="005E0770" w:rsidRPr="00E36734">
        <w:rPr>
          <w:rFonts w:ascii="Times New Roman" w:eastAsia="Times New Roman" w:hAnsi="Times New Roman" w:cs="Times New Roman"/>
          <w:bCs/>
          <w:sz w:val="24"/>
          <w:szCs w:val="24"/>
          <w:lang w:eastAsia="el-GR"/>
        </w:rPr>
        <w:t xml:space="preserve">τις επιπτώσεις της νέας υφεσιακής περιόδου.  </w:t>
      </w:r>
    </w:p>
    <w:p w14:paraId="3EA5E4E0" w14:textId="74B26121" w:rsidR="009D0035" w:rsidRPr="00E36734" w:rsidRDefault="004B7C0A" w:rsidP="00761263">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Αυτό φαίνεται από το εξαιρετικά χαμηλό επίπεδο στο οποίο παραμένει ο δείκτης οικονομικού κλίματος των</w:t>
      </w:r>
      <w:r w:rsidR="003E70BF" w:rsidRPr="00E36734">
        <w:rPr>
          <w:rFonts w:ascii="Times New Roman" w:eastAsia="Times New Roman" w:hAnsi="Times New Roman" w:cs="Times New Roman"/>
          <w:bCs/>
          <w:sz w:val="24"/>
          <w:szCs w:val="24"/>
          <w:lang w:eastAsia="el-GR"/>
        </w:rPr>
        <w:t xml:space="preserve"> ελληνικών ΜΜΕ, συγκρίνοντας τον με τους αντίστοιχους δείκτες του Ευρωβαρομέτρου που εκπονεί η </w:t>
      </w:r>
      <w:r w:rsidR="003E70BF" w:rsidRPr="00E36734">
        <w:rPr>
          <w:rFonts w:ascii="Times New Roman" w:eastAsia="Times New Roman" w:hAnsi="Times New Roman" w:cs="Times New Roman"/>
          <w:bCs/>
          <w:sz w:val="24"/>
          <w:szCs w:val="24"/>
          <w:lang w:val="en-US" w:eastAsia="el-GR"/>
        </w:rPr>
        <w:t>SME</w:t>
      </w:r>
      <w:r w:rsidR="003E70BF" w:rsidRPr="00E36734">
        <w:rPr>
          <w:rFonts w:ascii="Times New Roman" w:eastAsia="Times New Roman" w:hAnsi="Times New Roman" w:cs="Times New Roman"/>
          <w:bCs/>
          <w:sz w:val="24"/>
          <w:szCs w:val="24"/>
          <w:lang w:eastAsia="el-GR"/>
        </w:rPr>
        <w:t xml:space="preserve"> </w:t>
      </w:r>
      <w:r w:rsidR="003E70BF" w:rsidRPr="00E36734">
        <w:rPr>
          <w:rFonts w:ascii="Times New Roman" w:eastAsia="Times New Roman" w:hAnsi="Times New Roman" w:cs="Times New Roman"/>
          <w:bCs/>
          <w:sz w:val="24"/>
          <w:szCs w:val="24"/>
          <w:lang w:val="en-US" w:eastAsia="el-GR"/>
        </w:rPr>
        <w:t>United</w:t>
      </w:r>
      <w:r w:rsidR="003E70BF" w:rsidRPr="00E36734">
        <w:rPr>
          <w:rFonts w:ascii="Times New Roman" w:eastAsia="Times New Roman" w:hAnsi="Times New Roman" w:cs="Times New Roman"/>
          <w:bCs/>
          <w:sz w:val="24"/>
          <w:szCs w:val="24"/>
          <w:lang w:eastAsia="el-GR"/>
        </w:rPr>
        <w:t xml:space="preserve"> (Ευρωπαϊκή Συνομοσπονδία ΜΜΕ)</w:t>
      </w:r>
      <w:r w:rsidR="0082015F" w:rsidRPr="00E36734">
        <w:rPr>
          <w:rFonts w:ascii="Times New Roman" w:eastAsia="Times New Roman" w:hAnsi="Times New Roman" w:cs="Times New Roman"/>
          <w:bCs/>
          <w:sz w:val="24"/>
          <w:szCs w:val="24"/>
          <w:lang w:eastAsia="el-GR"/>
        </w:rPr>
        <w:t xml:space="preserve"> σε εξαμηνιαία βάση</w:t>
      </w:r>
      <w:r w:rsidR="003E70BF" w:rsidRPr="00E36734">
        <w:rPr>
          <w:rFonts w:ascii="Times New Roman" w:eastAsia="Times New Roman" w:hAnsi="Times New Roman" w:cs="Times New Roman"/>
          <w:bCs/>
          <w:sz w:val="24"/>
          <w:szCs w:val="24"/>
          <w:lang w:eastAsia="el-GR"/>
        </w:rPr>
        <w:t>.</w:t>
      </w:r>
      <w:r w:rsidR="0082015F" w:rsidRPr="00E36734">
        <w:rPr>
          <w:rFonts w:ascii="Times New Roman" w:eastAsia="Times New Roman" w:hAnsi="Times New Roman" w:cs="Times New Roman"/>
          <w:bCs/>
          <w:sz w:val="24"/>
          <w:szCs w:val="24"/>
          <w:lang w:eastAsia="el-GR"/>
        </w:rPr>
        <w:t xml:space="preserve"> </w:t>
      </w:r>
      <w:r w:rsidR="003E70BF" w:rsidRPr="00E36734">
        <w:rPr>
          <w:rFonts w:ascii="Times New Roman" w:eastAsia="Times New Roman" w:hAnsi="Times New Roman" w:cs="Times New Roman"/>
          <w:bCs/>
          <w:sz w:val="24"/>
          <w:szCs w:val="24"/>
          <w:lang w:eastAsia="el-GR"/>
        </w:rPr>
        <w:t xml:space="preserve"> </w:t>
      </w:r>
      <w:r w:rsidR="0082015F" w:rsidRPr="00E36734">
        <w:rPr>
          <w:rFonts w:ascii="Times New Roman" w:eastAsia="Times New Roman" w:hAnsi="Times New Roman" w:cs="Times New Roman"/>
          <w:bCs/>
          <w:sz w:val="24"/>
          <w:szCs w:val="24"/>
          <w:lang w:eastAsia="el-GR"/>
        </w:rPr>
        <w:t xml:space="preserve">Όπως φαίνεται στο Γράφημα 1 ενώ το 2019 ο </w:t>
      </w:r>
      <w:r w:rsidR="008A541F" w:rsidRPr="00E36734">
        <w:rPr>
          <w:rFonts w:ascii="Times New Roman" w:eastAsia="Times New Roman" w:hAnsi="Times New Roman" w:cs="Times New Roman"/>
          <w:bCs/>
          <w:sz w:val="24"/>
          <w:szCs w:val="24"/>
          <w:lang w:eastAsia="el-GR"/>
        </w:rPr>
        <w:t>δείκτης</w:t>
      </w:r>
      <w:r w:rsidR="0082015F" w:rsidRPr="00E36734">
        <w:rPr>
          <w:rFonts w:ascii="Times New Roman" w:eastAsia="Times New Roman" w:hAnsi="Times New Roman" w:cs="Times New Roman"/>
          <w:bCs/>
          <w:sz w:val="24"/>
          <w:szCs w:val="24"/>
          <w:lang w:eastAsia="el-GR"/>
        </w:rPr>
        <w:t xml:space="preserve"> οικονομικού κλίματος των </w:t>
      </w:r>
      <w:r w:rsidR="008A541F" w:rsidRPr="00E36734">
        <w:rPr>
          <w:rFonts w:ascii="Times New Roman" w:eastAsia="Times New Roman" w:hAnsi="Times New Roman" w:cs="Times New Roman"/>
          <w:bCs/>
          <w:sz w:val="24"/>
          <w:szCs w:val="24"/>
          <w:lang w:eastAsia="el-GR"/>
        </w:rPr>
        <w:t>ελληνικών</w:t>
      </w:r>
      <w:r w:rsidR="0082015F" w:rsidRPr="00E36734">
        <w:rPr>
          <w:rFonts w:ascii="Times New Roman" w:eastAsia="Times New Roman" w:hAnsi="Times New Roman" w:cs="Times New Roman"/>
          <w:bCs/>
          <w:sz w:val="24"/>
          <w:szCs w:val="24"/>
          <w:lang w:eastAsia="el-GR"/>
        </w:rPr>
        <w:t xml:space="preserve"> ΜΜΕ προσέγγισε</w:t>
      </w:r>
      <w:r w:rsidR="0053342E" w:rsidRPr="00E36734">
        <w:rPr>
          <w:rFonts w:ascii="Times New Roman" w:eastAsia="Times New Roman" w:hAnsi="Times New Roman" w:cs="Times New Roman"/>
          <w:bCs/>
          <w:sz w:val="24"/>
          <w:szCs w:val="24"/>
          <w:lang w:eastAsia="el-GR"/>
        </w:rPr>
        <w:t>,</w:t>
      </w:r>
      <w:r w:rsidR="00D707D5" w:rsidRPr="00E36734">
        <w:rPr>
          <w:rFonts w:ascii="Times New Roman" w:eastAsia="Times New Roman" w:hAnsi="Times New Roman" w:cs="Times New Roman"/>
          <w:bCs/>
          <w:sz w:val="24"/>
          <w:szCs w:val="24"/>
          <w:lang w:eastAsia="el-GR"/>
        </w:rPr>
        <w:t xml:space="preserve"> υστέρα από μια δεκαετία</w:t>
      </w:r>
      <w:r w:rsidR="0082015F" w:rsidRPr="00E36734">
        <w:rPr>
          <w:rFonts w:ascii="Times New Roman" w:eastAsia="Times New Roman" w:hAnsi="Times New Roman" w:cs="Times New Roman"/>
          <w:bCs/>
          <w:sz w:val="24"/>
          <w:szCs w:val="24"/>
          <w:lang w:eastAsia="el-GR"/>
        </w:rPr>
        <w:t xml:space="preserve"> τον </w:t>
      </w:r>
      <w:r w:rsidR="008A541F" w:rsidRPr="00E36734">
        <w:rPr>
          <w:rFonts w:ascii="Times New Roman" w:eastAsia="Times New Roman" w:hAnsi="Times New Roman" w:cs="Times New Roman"/>
          <w:bCs/>
          <w:sz w:val="24"/>
          <w:szCs w:val="24"/>
          <w:lang w:eastAsia="el-GR"/>
        </w:rPr>
        <w:t>ευρωπαϊκό</w:t>
      </w:r>
      <w:r w:rsidR="0082015F" w:rsidRPr="00E36734">
        <w:rPr>
          <w:rFonts w:ascii="Times New Roman" w:eastAsia="Times New Roman" w:hAnsi="Times New Roman" w:cs="Times New Roman"/>
          <w:bCs/>
          <w:sz w:val="24"/>
          <w:szCs w:val="24"/>
          <w:lang w:eastAsia="el-GR"/>
        </w:rPr>
        <w:t xml:space="preserve"> μέσο όρο</w:t>
      </w:r>
      <w:r w:rsidR="0053342E" w:rsidRPr="00E36734">
        <w:rPr>
          <w:rFonts w:ascii="Times New Roman" w:eastAsia="Times New Roman" w:hAnsi="Times New Roman" w:cs="Times New Roman"/>
          <w:bCs/>
          <w:sz w:val="24"/>
          <w:szCs w:val="24"/>
          <w:lang w:eastAsia="el-GR"/>
        </w:rPr>
        <w:t>,</w:t>
      </w:r>
      <w:r w:rsidR="0082015F" w:rsidRPr="00E36734">
        <w:rPr>
          <w:rFonts w:ascii="Times New Roman" w:eastAsia="Times New Roman" w:hAnsi="Times New Roman" w:cs="Times New Roman"/>
          <w:bCs/>
          <w:sz w:val="24"/>
          <w:szCs w:val="24"/>
          <w:lang w:eastAsia="el-GR"/>
        </w:rPr>
        <w:t xml:space="preserve"> η εκδήλωση της </w:t>
      </w:r>
      <w:r w:rsidR="008A541F" w:rsidRPr="00E36734">
        <w:rPr>
          <w:rFonts w:ascii="Times New Roman" w:eastAsia="Times New Roman" w:hAnsi="Times New Roman" w:cs="Times New Roman"/>
          <w:bCs/>
          <w:sz w:val="24"/>
          <w:szCs w:val="24"/>
          <w:lang w:eastAsia="el-GR"/>
        </w:rPr>
        <w:t>πανδημίας</w:t>
      </w:r>
      <w:r w:rsidR="0082015F" w:rsidRPr="00E36734">
        <w:rPr>
          <w:rFonts w:ascii="Times New Roman" w:eastAsia="Times New Roman" w:hAnsi="Times New Roman" w:cs="Times New Roman"/>
          <w:bCs/>
          <w:sz w:val="24"/>
          <w:szCs w:val="24"/>
          <w:lang w:eastAsia="el-GR"/>
        </w:rPr>
        <w:t xml:space="preserve"> του </w:t>
      </w:r>
      <w:r w:rsidR="0082015F" w:rsidRPr="00E36734">
        <w:rPr>
          <w:rFonts w:ascii="Times New Roman" w:eastAsia="Times New Roman" w:hAnsi="Times New Roman" w:cs="Times New Roman"/>
          <w:bCs/>
          <w:sz w:val="24"/>
          <w:szCs w:val="24"/>
          <w:lang w:val="en-US" w:eastAsia="el-GR"/>
        </w:rPr>
        <w:t>Covid</w:t>
      </w:r>
      <w:r w:rsidR="0082015F" w:rsidRPr="00E36734">
        <w:rPr>
          <w:rFonts w:ascii="Times New Roman" w:eastAsia="Times New Roman" w:hAnsi="Times New Roman" w:cs="Times New Roman"/>
          <w:bCs/>
          <w:sz w:val="24"/>
          <w:szCs w:val="24"/>
          <w:lang w:eastAsia="el-GR"/>
        </w:rPr>
        <w:t xml:space="preserve">-19 και η οικονομική </w:t>
      </w:r>
      <w:r w:rsidR="008A541F" w:rsidRPr="00E36734">
        <w:rPr>
          <w:rFonts w:ascii="Times New Roman" w:eastAsia="Times New Roman" w:hAnsi="Times New Roman" w:cs="Times New Roman"/>
          <w:bCs/>
          <w:sz w:val="24"/>
          <w:szCs w:val="24"/>
          <w:lang w:eastAsia="el-GR"/>
        </w:rPr>
        <w:t>κρίση</w:t>
      </w:r>
      <w:r w:rsidR="0082015F" w:rsidRPr="00E36734">
        <w:rPr>
          <w:rFonts w:ascii="Times New Roman" w:eastAsia="Times New Roman" w:hAnsi="Times New Roman" w:cs="Times New Roman"/>
          <w:bCs/>
          <w:sz w:val="24"/>
          <w:szCs w:val="24"/>
          <w:lang w:eastAsia="el-GR"/>
        </w:rPr>
        <w:t xml:space="preserve"> που ακολούθησε οδήγησαν σ</w:t>
      </w:r>
      <w:r w:rsidR="00D707D5" w:rsidRPr="00E36734">
        <w:rPr>
          <w:rFonts w:ascii="Times New Roman" w:eastAsia="Times New Roman" w:hAnsi="Times New Roman" w:cs="Times New Roman"/>
          <w:bCs/>
          <w:sz w:val="24"/>
          <w:szCs w:val="24"/>
          <w:lang w:eastAsia="el-GR"/>
        </w:rPr>
        <w:t>την</w:t>
      </w:r>
      <w:r w:rsidR="0082015F" w:rsidRPr="00E36734">
        <w:rPr>
          <w:rFonts w:ascii="Times New Roman" w:eastAsia="Times New Roman" w:hAnsi="Times New Roman" w:cs="Times New Roman"/>
          <w:bCs/>
          <w:sz w:val="24"/>
          <w:szCs w:val="24"/>
          <w:lang w:eastAsia="el-GR"/>
        </w:rPr>
        <w:t xml:space="preserve"> ραγδαία πτώση του</w:t>
      </w:r>
      <w:r w:rsidR="00D707D5" w:rsidRPr="00E36734">
        <w:rPr>
          <w:rFonts w:ascii="Times New Roman" w:eastAsia="Times New Roman" w:hAnsi="Times New Roman" w:cs="Times New Roman"/>
          <w:bCs/>
          <w:sz w:val="24"/>
          <w:szCs w:val="24"/>
          <w:lang w:eastAsia="el-GR"/>
        </w:rPr>
        <w:t xml:space="preserve">, από τις 66,4 </w:t>
      </w:r>
      <w:r w:rsidR="009D0035" w:rsidRPr="00E36734">
        <w:rPr>
          <w:rFonts w:ascii="Times New Roman" w:eastAsia="Times New Roman" w:hAnsi="Times New Roman" w:cs="Times New Roman"/>
          <w:bCs/>
          <w:sz w:val="24"/>
          <w:szCs w:val="24"/>
          <w:lang w:eastAsia="el-GR"/>
        </w:rPr>
        <w:t>μονάδες</w:t>
      </w:r>
      <w:r w:rsidR="00D707D5" w:rsidRPr="00E36734">
        <w:rPr>
          <w:rFonts w:ascii="Times New Roman" w:eastAsia="Times New Roman" w:hAnsi="Times New Roman" w:cs="Times New Roman"/>
          <w:bCs/>
          <w:sz w:val="24"/>
          <w:szCs w:val="24"/>
          <w:lang w:eastAsia="el-GR"/>
        </w:rPr>
        <w:t xml:space="preserve"> στις 20,1</w:t>
      </w:r>
      <w:r w:rsidR="0082015F" w:rsidRPr="00E36734">
        <w:rPr>
          <w:rFonts w:ascii="Times New Roman" w:eastAsia="Times New Roman" w:hAnsi="Times New Roman" w:cs="Times New Roman"/>
          <w:bCs/>
          <w:sz w:val="24"/>
          <w:szCs w:val="24"/>
          <w:lang w:eastAsia="el-GR"/>
        </w:rPr>
        <w:t xml:space="preserve"> σε διάστημα λιγότερο των </w:t>
      </w:r>
      <w:r w:rsidR="008A541F" w:rsidRPr="00E36734">
        <w:rPr>
          <w:rFonts w:ascii="Times New Roman" w:eastAsia="Times New Roman" w:hAnsi="Times New Roman" w:cs="Times New Roman"/>
          <w:bCs/>
          <w:sz w:val="24"/>
          <w:szCs w:val="24"/>
          <w:lang w:eastAsia="el-GR"/>
        </w:rPr>
        <w:t>έξι</w:t>
      </w:r>
      <w:r w:rsidR="0082015F" w:rsidRPr="00E36734">
        <w:rPr>
          <w:rFonts w:ascii="Times New Roman" w:eastAsia="Times New Roman" w:hAnsi="Times New Roman" w:cs="Times New Roman"/>
          <w:bCs/>
          <w:sz w:val="24"/>
          <w:szCs w:val="24"/>
          <w:lang w:eastAsia="el-GR"/>
        </w:rPr>
        <w:t xml:space="preserve"> μηνών</w:t>
      </w:r>
      <w:r w:rsidR="009D0035" w:rsidRPr="00E36734">
        <w:rPr>
          <w:rFonts w:ascii="Times New Roman" w:eastAsia="Times New Roman" w:hAnsi="Times New Roman" w:cs="Times New Roman"/>
          <w:bCs/>
          <w:sz w:val="24"/>
          <w:szCs w:val="24"/>
          <w:lang w:eastAsia="el-GR"/>
        </w:rPr>
        <w:t>.</w:t>
      </w:r>
      <w:r w:rsidR="0082015F" w:rsidRPr="00E36734">
        <w:rPr>
          <w:rFonts w:ascii="Times New Roman" w:eastAsia="Times New Roman" w:hAnsi="Times New Roman" w:cs="Times New Roman"/>
          <w:bCs/>
          <w:sz w:val="24"/>
          <w:szCs w:val="24"/>
          <w:lang w:eastAsia="el-GR"/>
        </w:rPr>
        <w:t xml:space="preserve"> </w:t>
      </w:r>
      <w:r w:rsidR="008A541F" w:rsidRPr="00E36734">
        <w:rPr>
          <w:rFonts w:ascii="Times New Roman" w:eastAsia="Times New Roman" w:hAnsi="Times New Roman" w:cs="Times New Roman"/>
          <w:bCs/>
          <w:sz w:val="24"/>
          <w:szCs w:val="24"/>
          <w:lang w:eastAsia="el-GR"/>
        </w:rPr>
        <w:t>Βέβαια</w:t>
      </w:r>
      <w:r w:rsidR="006C1482" w:rsidRPr="00E36734">
        <w:rPr>
          <w:rFonts w:ascii="Times New Roman" w:eastAsia="Times New Roman" w:hAnsi="Times New Roman" w:cs="Times New Roman"/>
          <w:bCs/>
          <w:sz w:val="24"/>
          <w:szCs w:val="24"/>
          <w:lang w:eastAsia="el-GR"/>
        </w:rPr>
        <w:t>,</w:t>
      </w:r>
      <w:r w:rsidR="0082015F" w:rsidRPr="00E36734">
        <w:rPr>
          <w:rFonts w:ascii="Times New Roman" w:eastAsia="Times New Roman" w:hAnsi="Times New Roman" w:cs="Times New Roman"/>
          <w:bCs/>
          <w:sz w:val="24"/>
          <w:szCs w:val="24"/>
          <w:lang w:eastAsia="el-GR"/>
        </w:rPr>
        <w:t xml:space="preserve"> σημαντική πτώση </w:t>
      </w:r>
      <w:r w:rsidR="008A541F" w:rsidRPr="00E36734">
        <w:rPr>
          <w:rFonts w:ascii="Times New Roman" w:eastAsia="Times New Roman" w:hAnsi="Times New Roman" w:cs="Times New Roman"/>
          <w:bCs/>
          <w:sz w:val="24"/>
          <w:szCs w:val="24"/>
          <w:lang w:eastAsia="el-GR"/>
        </w:rPr>
        <w:t>καταγράφηκε</w:t>
      </w:r>
      <w:r w:rsidR="0082015F" w:rsidRPr="00E36734">
        <w:rPr>
          <w:rFonts w:ascii="Times New Roman" w:eastAsia="Times New Roman" w:hAnsi="Times New Roman" w:cs="Times New Roman"/>
          <w:bCs/>
          <w:sz w:val="24"/>
          <w:szCs w:val="24"/>
          <w:lang w:eastAsia="el-GR"/>
        </w:rPr>
        <w:t xml:space="preserve"> και στους σχετικούς </w:t>
      </w:r>
      <w:r w:rsidR="008A541F" w:rsidRPr="00E36734">
        <w:rPr>
          <w:rFonts w:ascii="Times New Roman" w:eastAsia="Times New Roman" w:hAnsi="Times New Roman" w:cs="Times New Roman"/>
          <w:bCs/>
          <w:sz w:val="24"/>
          <w:szCs w:val="24"/>
          <w:lang w:eastAsia="el-GR"/>
        </w:rPr>
        <w:t>δείκτες</w:t>
      </w:r>
      <w:r w:rsidR="0082015F" w:rsidRPr="00E36734">
        <w:rPr>
          <w:rFonts w:ascii="Times New Roman" w:eastAsia="Times New Roman" w:hAnsi="Times New Roman" w:cs="Times New Roman"/>
          <w:bCs/>
          <w:sz w:val="24"/>
          <w:szCs w:val="24"/>
          <w:lang w:eastAsia="el-GR"/>
        </w:rPr>
        <w:t xml:space="preserve"> οικονομικού κλίματος του Ευρωβαρόμετρου για τις ΜΜΕ. </w:t>
      </w:r>
      <w:r w:rsidR="009D0035" w:rsidRPr="00E36734">
        <w:rPr>
          <w:rFonts w:ascii="Times New Roman" w:eastAsia="Times New Roman" w:hAnsi="Times New Roman" w:cs="Times New Roman"/>
          <w:bCs/>
          <w:sz w:val="24"/>
          <w:szCs w:val="24"/>
          <w:lang w:eastAsia="el-GR"/>
        </w:rPr>
        <w:t>Συγκεκριμένα, ο</w:t>
      </w:r>
      <w:r w:rsidR="0082015F" w:rsidRPr="00E36734">
        <w:rPr>
          <w:rFonts w:ascii="Times New Roman" w:eastAsia="Times New Roman" w:hAnsi="Times New Roman" w:cs="Times New Roman"/>
          <w:bCs/>
          <w:sz w:val="24"/>
          <w:szCs w:val="24"/>
          <w:lang w:eastAsia="el-GR"/>
        </w:rPr>
        <w:t xml:space="preserve"> γενικός </w:t>
      </w:r>
      <w:r w:rsidR="008A541F" w:rsidRPr="00E36734">
        <w:rPr>
          <w:rFonts w:ascii="Times New Roman" w:eastAsia="Times New Roman" w:hAnsi="Times New Roman" w:cs="Times New Roman"/>
          <w:bCs/>
          <w:sz w:val="24"/>
          <w:szCs w:val="24"/>
          <w:lang w:eastAsia="el-GR"/>
        </w:rPr>
        <w:t>ευρωπαϊκός</w:t>
      </w:r>
      <w:r w:rsidR="0082015F" w:rsidRPr="00E36734">
        <w:rPr>
          <w:rFonts w:ascii="Times New Roman" w:eastAsia="Times New Roman" w:hAnsi="Times New Roman" w:cs="Times New Roman"/>
          <w:bCs/>
          <w:sz w:val="24"/>
          <w:szCs w:val="24"/>
          <w:lang w:eastAsia="el-GR"/>
        </w:rPr>
        <w:t xml:space="preserve"> </w:t>
      </w:r>
      <w:r w:rsidR="008A541F" w:rsidRPr="00E36734">
        <w:rPr>
          <w:rFonts w:ascii="Times New Roman" w:eastAsia="Times New Roman" w:hAnsi="Times New Roman" w:cs="Times New Roman"/>
          <w:bCs/>
          <w:sz w:val="24"/>
          <w:szCs w:val="24"/>
          <w:lang w:eastAsia="el-GR"/>
        </w:rPr>
        <w:t>δείκτης οικονομικού κλίματος</w:t>
      </w:r>
      <w:r w:rsidR="0082015F" w:rsidRPr="00E36734">
        <w:rPr>
          <w:rFonts w:ascii="Times New Roman" w:eastAsia="Times New Roman" w:hAnsi="Times New Roman" w:cs="Times New Roman"/>
          <w:bCs/>
          <w:sz w:val="24"/>
          <w:szCs w:val="24"/>
          <w:lang w:eastAsia="el-GR"/>
        </w:rPr>
        <w:t xml:space="preserve"> </w:t>
      </w:r>
      <w:r w:rsidR="008A541F" w:rsidRPr="00E36734">
        <w:rPr>
          <w:rFonts w:ascii="Times New Roman" w:eastAsia="Times New Roman" w:hAnsi="Times New Roman" w:cs="Times New Roman"/>
          <w:bCs/>
          <w:sz w:val="24"/>
          <w:szCs w:val="24"/>
          <w:lang w:eastAsia="el-GR"/>
        </w:rPr>
        <w:t>έπεσε</w:t>
      </w:r>
      <w:r w:rsidR="0082015F" w:rsidRPr="00E36734">
        <w:rPr>
          <w:rFonts w:ascii="Times New Roman" w:eastAsia="Times New Roman" w:hAnsi="Times New Roman" w:cs="Times New Roman"/>
          <w:bCs/>
          <w:sz w:val="24"/>
          <w:szCs w:val="24"/>
          <w:lang w:eastAsia="el-GR"/>
        </w:rPr>
        <w:t xml:space="preserve"> το Α εξάμηνο του 2020 από τις </w:t>
      </w:r>
      <w:r w:rsidR="008A541F" w:rsidRPr="00E36734">
        <w:rPr>
          <w:rFonts w:ascii="Times New Roman" w:eastAsia="Times New Roman" w:hAnsi="Times New Roman" w:cs="Times New Roman"/>
          <w:bCs/>
          <w:sz w:val="24"/>
          <w:szCs w:val="24"/>
          <w:lang w:eastAsia="el-GR"/>
        </w:rPr>
        <w:t xml:space="preserve">73,4 μονάδες στις 54,6. </w:t>
      </w:r>
      <w:r w:rsidR="00D707D5" w:rsidRPr="00E36734">
        <w:rPr>
          <w:rFonts w:ascii="Times New Roman" w:eastAsia="Times New Roman" w:hAnsi="Times New Roman" w:cs="Times New Roman"/>
          <w:bCs/>
          <w:sz w:val="24"/>
          <w:szCs w:val="24"/>
          <w:lang w:eastAsia="el-GR"/>
        </w:rPr>
        <w:t>Αντίστοιχα</w:t>
      </w:r>
      <w:r w:rsidR="008A541F" w:rsidRPr="00E36734">
        <w:rPr>
          <w:rFonts w:ascii="Times New Roman" w:eastAsia="Times New Roman" w:hAnsi="Times New Roman" w:cs="Times New Roman"/>
          <w:bCs/>
          <w:sz w:val="24"/>
          <w:szCs w:val="24"/>
          <w:lang w:eastAsia="el-GR"/>
        </w:rPr>
        <w:t xml:space="preserve"> ο σχετικός </w:t>
      </w:r>
      <w:r w:rsidR="00D707D5" w:rsidRPr="00E36734">
        <w:rPr>
          <w:rFonts w:ascii="Times New Roman" w:eastAsia="Times New Roman" w:hAnsi="Times New Roman" w:cs="Times New Roman"/>
          <w:bCs/>
          <w:sz w:val="24"/>
          <w:szCs w:val="24"/>
          <w:lang w:eastAsia="el-GR"/>
        </w:rPr>
        <w:t>δείκτης</w:t>
      </w:r>
      <w:r w:rsidR="008A541F" w:rsidRPr="00E36734">
        <w:rPr>
          <w:rFonts w:ascii="Times New Roman" w:eastAsia="Times New Roman" w:hAnsi="Times New Roman" w:cs="Times New Roman"/>
          <w:bCs/>
          <w:sz w:val="24"/>
          <w:szCs w:val="24"/>
          <w:lang w:eastAsia="el-GR"/>
        </w:rPr>
        <w:t xml:space="preserve"> για τις ΜΜΕ των </w:t>
      </w:r>
      <w:r w:rsidR="00D707D5" w:rsidRPr="00E36734">
        <w:rPr>
          <w:rFonts w:ascii="Times New Roman" w:eastAsia="Times New Roman" w:hAnsi="Times New Roman" w:cs="Times New Roman"/>
          <w:bCs/>
          <w:sz w:val="24"/>
          <w:szCs w:val="24"/>
          <w:lang w:eastAsia="el-GR"/>
        </w:rPr>
        <w:t xml:space="preserve">κρατών της </w:t>
      </w:r>
      <w:r w:rsidR="0053342E" w:rsidRPr="00E36734">
        <w:rPr>
          <w:rFonts w:ascii="Times New Roman" w:eastAsia="Times New Roman" w:hAnsi="Times New Roman" w:cs="Times New Roman"/>
          <w:bCs/>
          <w:sz w:val="24"/>
          <w:szCs w:val="24"/>
          <w:lang w:eastAsia="el-GR"/>
        </w:rPr>
        <w:t>Β</w:t>
      </w:r>
      <w:r w:rsidR="00D707D5" w:rsidRPr="00E36734">
        <w:rPr>
          <w:rFonts w:ascii="Times New Roman" w:eastAsia="Times New Roman" w:hAnsi="Times New Roman" w:cs="Times New Roman"/>
          <w:bCs/>
          <w:sz w:val="24"/>
          <w:szCs w:val="24"/>
          <w:lang w:eastAsia="el-GR"/>
        </w:rPr>
        <w:t xml:space="preserve">όρειας και </w:t>
      </w:r>
      <w:r w:rsidR="0053342E" w:rsidRPr="00E36734">
        <w:rPr>
          <w:rFonts w:ascii="Times New Roman" w:eastAsia="Times New Roman" w:hAnsi="Times New Roman" w:cs="Times New Roman"/>
          <w:bCs/>
          <w:sz w:val="24"/>
          <w:szCs w:val="24"/>
          <w:lang w:eastAsia="el-GR"/>
        </w:rPr>
        <w:t>Κ</w:t>
      </w:r>
      <w:r w:rsidR="00D707D5" w:rsidRPr="00E36734">
        <w:rPr>
          <w:rFonts w:ascii="Times New Roman" w:eastAsia="Times New Roman" w:hAnsi="Times New Roman" w:cs="Times New Roman"/>
          <w:bCs/>
          <w:sz w:val="24"/>
          <w:szCs w:val="24"/>
          <w:lang w:eastAsia="el-GR"/>
        </w:rPr>
        <w:t>εντρικής Ευρώπης</w:t>
      </w:r>
      <w:r w:rsidR="008A541F" w:rsidRPr="00E36734">
        <w:rPr>
          <w:rFonts w:ascii="Times New Roman" w:eastAsia="Times New Roman" w:hAnsi="Times New Roman" w:cs="Times New Roman"/>
          <w:bCs/>
          <w:sz w:val="24"/>
          <w:szCs w:val="24"/>
          <w:lang w:eastAsia="el-GR"/>
        </w:rPr>
        <w:t xml:space="preserve"> </w:t>
      </w:r>
      <w:r w:rsidR="00D707D5" w:rsidRPr="00E36734">
        <w:rPr>
          <w:rFonts w:ascii="Times New Roman" w:eastAsia="Times New Roman" w:hAnsi="Times New Roman" w:cs="Times New Roman"/>
          <w:bCs/>
          <w:sz w:val="24"/>
          <w:szCs w:val="24"/>
          <w:lang w:eastAsia="el-GR"/>
        </w:rPr>
        <w:t>μειώθηκε</w:t>
      </w:r>
      <w:r w:rsidR="008A541F" w:rsidRPr="00E36734">
        <w:rPr>
          <w:rFonts w:ascii="Times New Roman" w:eastAsia="Times New Roman" w:hAnsi="Times New Roman" w:cs="Times New Roman"/>
          <w:bCs/>
          <w:sz w:val="24"/>
          <w:szCs w:val="24"/>
          <w:lang w:eastAsia="el-GR"/>
        </w:rPr>
        <w:t xml:space="preserve"> από τις 72,7 στις 59,1 </w:t>
      </w:r>
      <w:r w:rsidR="00D707D5" w:rsidRPr="00E36734">
        <w:rPr>
          <w:rFonts w:ascii="Times New Roman" w:eastAsia="Times New Roman" w:hAnsi="Times New Roman" w:cs="Times New Roman"/>
          <w:bCs/>
          <w:sz w:val="24"/>
          <w:szCs w:val="24"/>
          <w:lang w:eastAsia="el-GR"/>
        </w:rPr>
        <w:t>μονάδες, ενώ</w:t>
      </w:r>
      <w:r w:rsidR="008A541F" w:rsidRPr="00E36734">
        <w:rPr>
          <w:rFonts w:ascii="Times New Roman" w:eastAsia="Times New Roman" w:hAnsi="Times New Roman" w:cs="Times New Roman"/>
          <w:bCs/>
          <w:sz w:val="24"/>
          <w:szCs w:val="24"/>
          <w:lang w:eastAsia="el-GR"/>
        </w:rPr>
        <w:t xml:space="preserve"> για τις χώρες του Νότου και της περιφέρειας της ΕΕ από τις 75,5 στις 43,3</w:t>
      </w:r>
      <w:r w:rsidR="00D707D5" w:rsidRPr="00E36734">
        <w:rPr>
          <w:rFonts w:ascii="Times New Roman" w:eastAsia="Times New Roman" w:hAnsi="Times New Roman" w:cs="Times New Roman"/>
          <w:bCs/>
          <w:sz w:val="24"/>
          <w:szCs w:val="24"/>
          <w:lang w:eastAsia="el-GR"/>
        </w:rPr>
        <w:t xml:space="preserve">. </w:t>
      </w:r>
    </w:p>
    <w:p w14:paraId="7C06D21B" w14:textId="0EDED370" w:rsidR="002D603B" w:rsidRPr="00E36734" w:rsidRDefault="009D0035" w:rsidP="00761263">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Η ραγδαία επιδείνωση της κατάστασης των ελληνικών ΜΜΕ αποτέλεσε ένα πρώτο σοβαρό σημάδι πως τα προβλήματα που αντιμετωπίζουν οι μικρές και πολύ μικρές</w:t>
      </w:r>
      <w:r w:rsidR="006C1482" w:rsidRPr="00E36734">
        <w:rPr>
          <w:rFonts w:ascii="Times New Roman" w:eastAsia="Times New Roman" w:hAnsi="Times New Roman" w:cs="Times New Roman"/>
          <w:bCs/>
          <w:sz w:val="24"/>
          <w:szCs w:val="24"/>
          <w:lang w:eastAsia="el-GR"/>
        </w:rPr>
        <w:t xml:space="preserve"> επιχειρήσεις,</w:t>
      </w:r>
      <w:r w:rsidRPr="00E36734">
        <w:rPr>
          <w:rFonts w:ascii="Times New Roman" w:eastAsia="Times New Roman" w:hAnsi="Times New Roman" w:cs="Times New Roman"/>
          <w:bCs/>
          <w:sz w:val="24"/>
          <w:szCs w:val="24"/>
          <w:lang w:eastAsia="el-GR"/>
        </w:rPr>
        <w:t xml:space="preserve"> με κύριο το διαχρονικό πρόβλημα της έλλειψης ρευστότητας</w:t>
      </w:r>
      <w:r w:rsidR="006C1482" w:rsidRPr="00E36734">
        <w:rPr>
          <w:rFonts w:ascii="Times New Roman" w:eastAsia="Times New Roman" w:hAnsi="Times New Roman" w:cs="Times New Roman"/>
          <w:bCs/>
          <w:sz w:val="24"/>
          <w:szCs w:val="24"/>
          <w:lang w:eastAsia="el-GR"/>
        </w:rPr>
        <w:t>,</w:t>
      </w:r>
      <w:r w:rsidRPr="00E36734">
        <w:rPr>
          <w:rFonts w:ascii="Times New Roman" w:eastAsia="Times New Roman" w:hAnsi="Times New Roman" w:cs="Times New Roman"/>
          <w:bCs/>
          <w:sz w:val="24"/>
          <w:szCs w:val="24"/>
          <w:lang w:eastAsia="el-GR"/>
        </w:rPr>
        <w:t xml:space="preserve"> θα </w:t>
      </w:r>
      <w:r w:rsidR="0053342E" w:rsidRPr="00E36734">
        <w:rPr>
          <w:rFonts w:ascii="Times New Roman" w:eastAsia="Times New Roman" w:hAnsi="Times New Roman" w:cs="Times New Roman"/>
          <w:bCs/>
          <w:sz w:val="24"/>
          <w:szCs w:val="24"/>
          <w:lang w:eastAsia="el-GR"/>
        </w:rPr>
        <w:t>έθετε σε κίνδυνο τη βιωσιμότητα</w:t>
      </w:r>
      <w:r w:rsidRPr="00E36734">
        <w:rPr>
          <w:rFonts w:ascii="Times New Roman" w:eastAsia="Times New Roman" w:hAnsi="Times New Roman" w:cs="Times New Roman"/>
          <w:bCs/>
          <w:sz w:val="24"/>
          <w:szCs w:val="24"/>
          <w:lang w:eastAsia="el-GR"/>
        </w:rPr>
        <w:t xml:space="preserve"> τους εάν δεν αντιμετωπιζόταν </w:t>
      </w:r>
      <w:r w:rsidR="0053342E" w:rsidRPr="00E36734">
        <w:rPr>
          <w:rFonts w:ascii="Times New Roman" w:eastAsia="Times New Roman" w:hAnsi="Times New Roman" w:cs="Times New Roman"/>
          <w:bCs/>
          <w:sz w:val="24"/>
          <w:szCs w:val="24"/>
          <w:lang w:eastAsia="el-GR"/>
        </w:rPr>
        <w:t>αποτελεσματικά</w:t>
      </w:r>
      <w:r w:rsidRPr="00E36734">
        <w:rPr>
          <w:rFonts w:ascii="Times New Roman" w:eastAsia="Times New Roman" w:hAnsi="Times New Roman" w:cs="Times New Roman"/>
          <w:bCs/>
          <w:sz w:val="24"/>
          <w:szCs w:val="24"/>
          <w:lang w:eastAsia="el-GR"/>
        </w:rPr>
        <w:t>, δεδομένου ότι η βασική πηγή</w:t>
      </w:r>
      <w:r w:rsidR="00A500D0" w:rsidRPr="00E36734">
        <w:rPr>
          <w:rFonts w:ascii="Times New Roman" w:eastAsia="Times New Roman" w:hAnsi="Times New Roman" w:cs="Times New Roman"/>
          <w:bCs/>
          <w:sz w:val="24"/>
          <w:szCs w:val="24"/>
          <w:lang w:eastAsia="el-GR"/>
        </w:rPr>
        <w:t xml:space="preserve"> </w:t>
      </w:r>
      <w:r w:rsidRPr="00E36734">
        <w:rPr>
          <w:rFonts w:ascii="Times New Roman" w:eastAsia="Times New Roman" w:hAnsi="Times New Roman" w:cs="Times New Roman"/>
          <w:bCs/>
          <w:sz w:val="24"/>
          <w:szCs w:val="24"/>
          <w:lang w:eastAsia="el-GR"/>
        </w:rPr>
        <w:t xml:space="preserve">και σε αρκετές περιπτώσεις </w:t>
      </w:r>
      <w:r w:rsidR="00A500D0" w:rsidRPr="00E36734">
        <w:rPr>
          <w:rFonts w:ascii="Times New Roman" w:eastAsia="Times New Roman" w:hAnsi="Times New Roman" w:cs="Times New Roman"/>
          <w:bCs/>
          <w:sz w:val="24"/>
          <w:szCs w:val="24"/>
          <w:lang w:eastAsia="el-GR"/>
        </w:rPr>
        <w:t xml:space="preserve">η </w:t>
      </w:r>
      <w:r w:rsidRPr="00E36734">
        <w:rPr>
          <w:rFonts w:ascii="Times New Roman" w:eastAsia="Times New Roman" w:hAnsi="Times New Roman" w:cs="Times New Roman"/>
          <w:bCs/>
          <w:sz w:val="24"/>
          <w:szCs w:val="24"/>
          <w:lang w:eastAsia="el-GR"/>
        </w:rPr>
        <w:t>μοναδική πηγή</w:t>
      </w:r>
      <w:r w:rsidR="00A500D0" w:rsidRPr="00E36734">
        <w:rPr>
          <w:rFonts w:ascii="Times New Roman" w:eastAsia="Times New Roman" w:hAnsi="Times New Roman" w:cs="Times New Roman"/>
          <w:bCs/>
          <w:sz w:val="24"/>
          <w:szCs w:val="24"/>
          <w:lang w:eastAsia="el-GR"/>
        </w:rPr>
        <w:t xml:space="preserve"> χρηματοδότησης της καθημερινής τους λειτουργίας </w:t>
      </w:r>
      <w:r w:rsidRPr="00E36734">
        <w:rPr>
          <w:rFonts w:ascii="Times New Roman" w:eastAsia="Times New Roman" w:hAnsi="Times New Roman" w:cs="Times New Roman"/>
          <w:bCs/>
          <w:sz w:val="24"/>
          <w:szCs w:val="24"/>
          <w:lang w:eastAsia="el-GR"/>
        </w:rPr>
        <w:t xml:space="preserve">αποτελεί ο </w:t>
      </w:r>
      <w:r w:rsidR="00A500D0" w:rsidRPr="00E36734">
        <w:rPr>
          <w:rFonts w:ascii="Times New Roman" w:eastAsia="Times New Roman" w:hAnsi="Times New Roman" w:cs="Times New Roman"/>
          <w:bCs/>
          <w:sz w:val="24"/>
          <w:szCs w:val="24"/>
          <w:lang w:eastAsia="el-GR"/>
        </w:rPr>
        <w:t xml:space="preserve">ημερήσιος </w:t>
      </w:r>
      <w:r w:rsidRPr="00E36734">
        <w:rPr>
          <w:rFonts w:ascii="Times New Roman" w:eastAsia="Times New Roman" w:hAnsi="Times New Roman" w:cs="Times New Roman"/>
          <w:bCs/>
          <w:sz w:val="24"/>
          <w:szCs w:val="24"/>
          <w:lang w:eastAsia="el-GR"/>
        </w:rPr>
        <w:t>τζίρος</w:t>
      </w:r>
      <w:r w:rsidR="00A500D0" w:rsidRPr="00E36734">
        <w:rPr>
          <w:rFonts w:ascii="Times New Roman" w:eastAsia="Times New Roman" w:hAnsi="Times New Roman" w:cs="Times New Roman"/>
          <w:bCs/>
          <w:sz w:val="24"/>
          <w:szCs w:val="24"/>
          <w:lang w:eastAsia="el-GR"/>
        </w:rPr>
        <w:t>. Και τούτο δεν αφορά μόνο την δυνατότητα κάλυψης των δαπανών και των υποχρεώσεων μιας επιχείρησης αλλά και το εισόδημα διαβίωσης του ίδιου του επιχειρηματία.</w:t>
      </w:r>
    </w:p>
    <w:p w14:paraId="763DA981" w14:textId="76C2170D" w:rsidR="009D0035" w:rsidRPr="00E36734" w:rsidRDefault="002D603B" w:rsidP="00761263">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lastRenderedPageBreak/>
        <w:t>Η διατήρηση του δείκτη οικονομικού κλίματος των ΜΜΕ για το Β εξάμηνο του 2020 στο ίδιο εξαιρετικά χαμηλό επίπεδο με τ</w:t>
      </w:r>
      <w:r w:rsidR="006C1482" w:rsidRPr="00E36734">
        <w:rPr>
          <w:rFonts w:ascii="Times New Roman" w:eastAsia="Times New Roman" w:hAnsi="Times New Roman" w:cs="Times New Roman"/>
          <w:bCs/>
          <w:sz w:val="24"/>
          <w:szCs w:val="24"/>
          <w:lang w:eastAsia="el-GR"/>
        </w:rPr>
        <w:t>ο</w:t>
      </w:r>
      <w:r w:rsidRPr="00E36734">
        <w:rPr>
          <w:rFonts w:ascii="Times New Roman" w:eastAsia="Times New Roman" w:hAnsi="Times New Roman" w:cs="Times New Roman"/>
          <w:bCs/>
          <w:sz w:val="24"/>
          <w:szCs w:val="24"/>
          <w:lang w:eastAsia="el-GR"/>
        </w:rPr>
        <w:t xml:space="preserve"> Α εξάμηνο του 2020, δηλαδή στις 20,1 μονάδες, </w:t>
      </w:r>
      <w:r w:rsidR="00483ED8" w:rsidRPr="00E36734">
        <w:rPr>
          <w:rFonts w:ascii="Times New Roman" w:eastAsia="Times New Roman" w:hAnsi="Times New Roman" w:cs="Times New Roman"/>
          <w:bCs/>
          <w:sz w:val="24"/>
          <w:szCs w:val="24"/>
          <w:lang w:eastAsia="el-GR"/>
        </w:rPr>
        <w:t>για</w:t>
      </w:r>
      <w:r w:rsidRPr="00E36734">
        <w:rPr>
          <w:rFonts w:ascii="Times New Roman" w:eastAsia="Times New Roman" w:hAnsi="Times New Roman" w:cs="Times New Roman"/>
          <w:bCs/>
          <w:sz w:val="24"/>
          <w:szCs w:val="24"/>
          <w:lang w:eastAsia="el-GR"/>
        </w:rPr>
        <w:t xml:space="preserve"> μια περίοδο που οι συνθήκες λειτουργίας των επιχειρήσεων ήταν μάλλον καλύτερες σε σχέση με το Α εξάμηνο του έτους, υποδηλώνει </w:t>
      </w:r>
      <w:r w:rsidR="00483ED8" w:rsidRPr="00E36734">
        <w:rPr>
          <w:rFonts w:ascii="Times New Roman" w:eastAsia="Times New Roman" w:hAnsi="Times New Roman" w:cs="Times New Roman"/>
          <w:bCs/>
          <w:sz w:val="24"/>
          <w:szCs w:val="24"/>
          <w:lang w:eastAsia="el-GR"/>
        </w:rPr>
        <w:t xml:space="preserve">την </w:t>
      </w:r>
      <w:r w:rsidRPr="00E36734">
        <w:rPr>
          <w:rFonts w:ascii="Times New Roman" w:eastAsia="Times New Roman" w:hAnsi="Times New Roman" w:cs="Times New Roman"/>
          <w:bCs/>
          <w:sz w:val="24"/>
          <w:szCs w:val="24"/>
          <w:lang w:eastAsia="el-GR"/>
        </w:rPr>
        <w:t xml:space="preserve">επιδείνωση της </w:t>
      </w:r>
      <w:r w:rsidR="00483ED8" w:rsidRPr="00E36734">
        <w:rPr>
          <w:rFonts w:ascii="Times New Roman" w:eastAsia="Times New Roman" w:hAnsi="Times New Roman" w:cs="Times New Roman"/>
          <w:bCs/>
          <w:sz w:val="24"/>
          <w:szCs w:val="24"/>
          <w:lang w:eastAsia="el-GR"/>
        </w:rPr>
        <w:t xml:space="preserve">οικονομικής </w:t>
      </w:r>
      <w:r w:rsidRPr="00E36734">
        <w:rPr>
          <w:rFonts w:ascii="Times New Roman" w:eastAsia="Times New Roman" w:hAnsi="Times New Roman" w:cs="Times New Roman"/>
          <w:bCs/>
          <w:sz w:val="24"/>
          <w:szCs w:val="24"/>
          <w:lang w:eastAsia="el-GR"/>
        </w:rPr>
        <w:t xml:space="preserve">κατάστασης </w:t>
      </w:r>
      <w:r w:rsidR="00483ED8" w:rsidRPr="00E36734">
        <w:rPr>
          <w:rFonts w:ascii="Times New Roman" w:eastAsia="Times New Roman" w:hAnsi="Times New Roman" w:cs="Times New Roman"/>
          <w:bCs/>
          <w:sz w:val="24"/>
          <w:szCs w:val="24"/>
          <w:lang w:eastAsia="el-GR"/>
        </w:rPr>
        <w:t>της</w:t>
      </w:r>
      <w:r w:rsidRPr="00E36734">
        <w:rPr>
          <w:rFonts w:ascii="Times New Roman" w:eastAsia="Times New Roman" w:hAnsi="Times New Roman" w:cs="Times New Roman"/>
          <w:bCs/>
          <w:sz w:val="24"/>
          <w:szCs w:val="24"/>
          <w:lang w:eastAsia="el-GR"/>
        </w:rPr>
        <w:t xml:space="preserve"> πλειοψηφία</w:t>
      </w:r>
      <w:r w:rsidR="00483ED8" w:rsidRPr="00E36734">
        <w:rPr>
          <w:rFonts w:ascii="Times New Roman" w:eastAsia="Times New Roman" w:hAnsi="Times New Roman" w:cs="Times New Roman"/>
          <w:bCs/>
          <w:sz w:val="24"/>
          <w:szCs w:val="24"/>
          <w:lang w:eastAsia="el-GR"/>
        </w:rPr>
        <w:t>ς</w:t>
      </w:r>
      <w:r w:rsidRPr="00E36734">
        <w:rPr>
          <w:rFonts w:ascii="Times New Roman" w:eastAsia="Times New Roman" w:hAnsi="Times New Roman" w:cs="Times New Roman"/>
          <w:bCs/>
          <w:sz w:val="24"/>
          <w:szCs w:val="24"/>
          <w:lang w:eastAsia="el-GR"/>
        </w:rPr>
        <w:t xml:space="preserve"> των μικρών και πολύ μικρών επιχειρήσεων. Όπως άλλωστε φαίνεται και στο Γράφημα 1 οι σχετικοί Ευρωπαϊκοί δείκτες παρουσίασαν άνοδο το Β εξάμηνο του 2020</w:t>
      </w:r>
      <w:r w:rsidR="006C1482" w:rsidRPr="00E36734">
        <w:rPr>
          <w:rFonts w:ascii="Times New Roman" w:eastAsia="Times New Roman" w:hAnsi="Times New Roman" w:cs="Times New Roman"/>
          <w:bCs/>
          <w:sz w:val="24"/>
          <w:szCs w:val="24"/>
          <w:lang w:eastAsia="el-GR"/>
        </w:rPr>
        <w:t>,</w:t>
      </w:r>
      <w:r w:rsidR="00A3568A" w:rsidRPr="00E36734">
        <w:rPr>
          <w:rFonts w:ascii="Times New Roman" w:eastAsia="Times New Roman" w:hAnsi="Times New Roman" w:cs="Times New Roman"/>
          <w:bCs/>
          <w:sz w:val="24"/>
          <w:szCs w:val="24"/>
          <w:lang w:eastAsia="el-GR"/>
        </w:rPr>
        <w:t xml:space="preserve"> που σημαίνει πως οι Ευρωπαϊκές ΜΜΕ περιόρισαν τις απώλειες τους. Συγκεκριμένα ο γενικός ευρωπαϊκός δείκτης οικονομικού κλίματος ανέβηκε το Β εξάμηνο του 2020 από τις 54,6 μονάδες στις 59,8. Αντίστοιχα ο σχετικός δείκτης για τις ΜΜΕ των κρατών της </w:t>
      </w:r>
      <w:r w:rsidR="00483ED8" w:rsidRPr="00E36734">
        <w:rPr>
          <w:rFonts w:ascii="Times New Roman" w:eastAsia="Times New Roman" w:hAnsi="Times New Roman" w:cs="Times New Roman"/>
          <w:bCs/>
          <w:sz w:val="24"/>
          <w:szCs w:val="24"/>
          <w:lang w:eastAsia="el-GR"/>
        </w:rPr>
        <w:t>Β</w:t>
      </w:r>
      <w:r w:rsidR="00A3568A" w:rsidRPr="00E36734">
        <w:rPr>
          <w:rFonts w:ascii="Times New Roman" w:eastAsia="Times New Roman" w:hAnsi="Times New Roman" w:cs="Times New Roman"/>
          <w:bCs/>
          <w:sz w:val="24"/>
          <w:szCs w:val="24"/>
          <w:lang w:eastAsia="el-GR"/>
        </w:rPr>
        <w:t xml:space="preserve">όρειας και </w:t>
      </w:r>
      <w:r w:rsidR="00483ED8" w:rsidRPr="00E36734">
        <w:rPr>
          <w:rFonts w:ascii="Times New Roman" w:eastAsia="Times New Roman" w:hAnsi="Times New Roman" w:cs="Times New Roman"/>
          <w:bCs/>
          <w:sz w:val="24"/>
          <w:szCs w:val="24"/>
          <w:lang w:eastAsia="el-GR"/>
        </w:rPr>
        <w:t>Κ</w:t>
      </w:r>
      <w:r w:rsidR="00A3568A" w:rsidRPr="00E36734">
        <w:rPr>
          <w:rFonts w:ascii="Times New Roman" w:eastAsia="Times New Roman" w:hAnsi="Times New Roman" w:cs="Times New Roman"/>
          <w:bCs/>
          <w:sz w:val="24"/>
          <w:szCs w:val="24"/>
          <w:lang w:eastAsia="el-GR"/>
        </w:rPr>
        <w:t>εντρικής Ευρώπης αυξήθηκε από τις 59,1 στις 62,4 μονάδες, ενώ για τις χώρες του Νότου και της περιφέρειας της ΕΕ από τις 43,3 στις 51,9.</w:t>
      </w:r>
    </w:p>
    <w:p w14:paraId="680ED826" w14:textId="5F0A1C63" w:rsidR="00D707D5" w:rsidRPr="00E36734" w:rsidRDefault="00A3568A" w:rsidP="00761263">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 xml:space="preserve">Επιπλέον, όπως αναφέρεται στη σχετική έκθεση της </w:t>
      </w:r>
      <w:r w:rsidRPr="00E36734">
        <w:rPr>
          <w:rFonts w:ascii="Times New Roman" w:eastAsia="Times New Roman" w:hAnsi="Times New Roman" w:cs="Times New Roman"/>
          <w:bCs/>
          <w:sz w:val="24"/>
          <w:szCs w:val="24"/>
          <w:lang w:val="en-US" w:eastAsia="el-GR"/>
        </w:rPr>
        <w:t>SME</w:t>
      </w:r>
      <w:r w:rsidRPr="00E36734">
        <w:rPr>
          <w:rFonts w:ascii="Times New Roman" w:eastAsia="Times New Roman" w:hAnsi="Times New Roman" w:cs="Times New Roman"/>
          <w:bCs/>
          <w:sz w:val="24"/>
          <w:szCs w:val="24"/>
          <w:lang w:eastAsia="el-GR"/>
        </w:rPr>
        <w:t xml:space="preserve"> </w:t>
      </w:r>
      <w:r w:rsidRPr="00E36734">
        <w:rPr>
          <w:rFonts w:ascii="Times New Roman" w:eastAsia="Times New Roman" w:hAnsi="Times New Roman" w:cs="Times New Roman"/>
          <w:bCs/>
          <w:sz w:val="24"/>
          <w:szCs w:val="24"/>
          <w:lang w:val="en-US" w:eastAsia="el-GR"/>
        </w:rPr>
        <w:t>United</w:t>
      </w:r>
      <w:r w:rsidRPr="00E36734">
        <w:rPr>
          <w:rFonts w:ascii="Times New Roman" w:eastAsia="Times New Roman" w:hAnsi="Times New Roman" w:cs="Times New Roman"/>
          <w:bCs/>
          <w:sz w:val="24"/>
          <w:szCs w:val="24"/>
          <w:lang w:eastAsia="el-GR"/>
        </w:rPr>
        <w:t>, η μερική ανάκαμψη που παρουσιάστηκε στον δείκτη επιχειρηματικό κλίματος ΜΜΕ το Β εξάμηνο του 2020</w:t>
      </w:r>
      <w:r w:rsidR="006C1482" w:rsidRPr="00E36734">
        <w:rPr>
          <w:rFonts w:ascii="Times New Roman" w:eastAsia="Times New Roman" w:hAnsi="Times New Roman" w:cs="Times New Roman"/>
          <w:bCs/>
          <w:sz w:val="24"/>
          <w:szCs w:val="24"/>
          <w:lang w:eastAsia="el-GR"/>
        </w:rPr>
        <w:t xml:space="preserve"> και </w:t>
      </w:r>
      <w:r w:rsidRPr="00E36734">
        <w:rPr>
          <w:rFonts w:ascii="Times New Roman" w:eastAsia="Times New Roman" w:hAnsi="Times New Roman" w:cs="Times New Roman"/>
          <w:bCs/>
          <w:sz w:val="24"/>
          <w:szCs w:val="24"/>
          <w:lang w:eastAsia="el-GR"/>
        </w:rPr>
        <w:t>οφείλεται στην άρση των περιοριστικών μέτρων</w:t>
      </w:r>
      <w:r w:rsidR="00483ED8" w:rsidRPr="00E36734">
        <w:rPr>
          <w:rFonts w:ascii="Times New Roman" w:eastAsia="Times New Roman" w:hAnsi="Times New Roman" w:cs="Times New Roman"/>
          <w:bCs/>
          <w:sz w:val="24"/>
          <w:szCs w:val="24"/>
          <w:lang w:eastAsia="el-GR"/>
        </w:rPr>
        <w:t>,</w:t>
      </w:r>
      <w:r w:rsidRPr="00E36734">
        <w:rPr>
          <w:rFonts w:ascii="Times New Roman" w:eastAsia="Times New Roman" w:hAnsi="Times New Roman" w:cs="Times New Roman"/>
          <w:bCs/>
          <w:sz w:val="24"/>
          <w:szCs w:val="24"/>
          <w:lang w:eastAsia="el-GR"/>
        </w:rPr>
        <w:t xml:space="preserve"> μετριάζεται από το δεύτερο κύμα της πανδημίας που εκδηλώθηκε στο τέλος του έτους. </w:t>
      </w:r>
      <w:r w:rsidR="001D2F4E" w:rsidRPr="00E36734">
        <w:rPr>
          <w:rFonts w:ascii="Times New Roman" w:eastAsia="Times New Roman" w:hAnsi="Times New Roman" w:cs="Times New Roman"/>
          <w:bCs/>
          <w:sz w:val="24"/>
          <w:szCs w:val="24"/>
          <w:lang w:eastAsia="el-GR"/>
        </w:rPr>
        <w:t>Αυτό για τις ελληνικές ΜΜΕ</w:t>
      </w:r>
      <w:r w:rsidR="00483ED8" w:rsidRPr="00E36734">
        <w:rPr>
          <w:rFonts w:ascii="Times New Roman" w:eastAsia="Times New Roman" w:hAnsi="Times New Roman" w:cs="Times New Roman"/>
          <w:bCs/>
          <w:sz w:val="24"/>
          <w:szCs w:val="24"/>
          <w:lang w:eastAsia="el-GR"/>
        </w:rPr>
        <w:t>,</w:t>
      </w:r>
      <w:r w:rsidR="001D2F4E" w:rsidRPr="00E36734">
        <w:rPr>
          <w:rFonts w:ascii="Times New Roman" w:eastAsia="Times New Roman" w:hAnsi="Times New Roman" w:cs="Times New Roman"/>
          <w:bCs/>
          <w:sz w:val="24"/>
          <w:szCs w:val="24"/>
          <w:lang w:eastAsia="el-GR"/>
        </w:rPr>
        <w:t xml:space="preserve"> που για το μεγαλύτερο διάστημα του 2021 βρίσκονται υπό καθεστώς </w:t>
      </w:r>
      <w:r w:rsidR="00483ED8" w:rsidRPr="00E36734">
        <w:rPr>
          <w:rFonts w:ascii="Times New Roman" w:eastAsia="Times New Roman" w:hAnsi="Times New Roman" w:cs="Times New Roman"/>
          <w:bCs/>
          <w:sz w:val="24"/>
          <w:szCs w:val="24"/>
          <w:lang w:eastAsia="el-GR"/>
        </w:rPr>
        <w:t xml:space="preserve">του τρίτου κατά σειρά </w:t>
      </w:r>
      <w:r w:rsidR="00483ED8" w:rsidRPr="00E36734">
        <w:rPr>
          <w:rFonts w:ascii="Times New Roman" w:eastAsia="Times New Roman" w:hAnsi="Times New Roman" w:cs="Times New Roman"/>
          <w:bCs/>
          <w:sz w:val="24"/>
          <w:szCs w:val="24"/>
          <w:lang w:val="en-US" w:eastAsia="el-GR"/>
        </w:rPr>
        <w:t>lockdown</w:t>
      </w:r>
      <w:r w:rsidR="001D2F4E" w:rsidRPr="00E36734">
        <w:rPr>
          <w:rFonts w:ascii="Times New Roman" w:eastAsia="Times New Roman" w:hAnsi="Times New Roman" w:cs="Times New Roman"/>
          <w:bCs/>
          <w:sz w:val="24"/>
          <w:szCs w:val="24"/>
          <w:lang w:eastAsia="el-GR"/>
        </w:rPr>
        <w:t xml:space="preserve">, πιθανότατα σημαίνει πως έχει επιβαρύνει περεταίρω την δύσκολη οικονομική κατάσταση στην οποία ήδη βρίσκονται.  </w:t>
      </w:r>
    </w:p>
    <w:p w14:paraId="2EC0D784" w14:textId="3718BA3F" w:rsidR="006C3DAB" w:rsidRPr="00E36734" w:rsidRDefault="006C3DAB" w:rsidP="00761263">
      <w:pPr>
        <w:spacing w:after="0" w:line="360" w:lineRule="auto"/>
        <w:jc w:val="both"/>
        <w:rPr>
          <w:rFonts w:ascii="Times New Roman" w:eastAsia="Times New Roman" w:hAnsi="Times New Roman" w:cs="Times New Roman"/>
          <w:color w:val="222222"/>
          <w:sz w:val="24"/>
          <w:szCs w:val="24"/>
          <w:lang w:eastAsia="el-GR"/>
        </w:rPr>
      </w:pPr>
    </w:p>
    <w:p w14:paraId="4AADCDD1" w14:textId="72A2E8C7" w:rsidR="006C3DAB" w:rsidRPr="00E36734" w:rsidRDefault="006C3DAB" w:rsidP="00761263">
      <w:pPr>
        <w:spacing w:after="0" w:line="360" w:lineRule="auto"/>
        <w:jc w:val="both"/>
        <w:rPr>
          <w:rFonts w:ascii="Times New Roman" w:eastAsia="Times New Roman" w:hAnsi="Times New Roman" w:cs="Times New Roman"/>
          <w:color w:val="222222"/>
          <w:sz w:val="24"/>
          <w:szCs w:val="24"/>
          <w:lang w:eastAsia="el-GR"/>
        </w:rPr>
      </w:pPr>
      <w:r w:rsidRPr="00E36734">
        <w:rPr>
          <w:noProof/>
          <w:lang w:eastAsia="el-GR"/>
        </w:rPr>
        <w:drawing>
          <wp:inline distT="0" distB="0" distL="0" distR="0" wp14:anchorId="6EC91D31" wp14:editId="3FC86EB7">
            <wp:extent cx="6570980" cy="4130040"/>
            <wp:effectExtent l="0" t="0" r="1270" b="3810"/>
            <wp:docPr id="2" name="Γράφημα 2">
              <a:extLst xmlns:a="http://schemas.openxmlformats.org/drawingml/2006/main">
                <a:ext uri="{FF2B5EF4-FFF2-40B4-BE49-F238E27FC236}">
                  <a16:creationId xmlns:a16="http://schemas.microsoft.com/office/drawing/2014/main" id="{931C5885-E001-4CE1-AC5C-53371FAF6A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4C28FE" w14:textId="730A0DE6" w:rsidR="00A9799A" w:rsidRPr="00E36734" w:rsidRDefault="00A9799A" w:rsidP="00761263">
      <w:pPr>
        <w:spacing w:after="0" w:line="360" w:lineRule="auto"/>
        <w:jc w:val="both"/>
        <w:rPr>
          <w:rFonts w:ascii="Times New Roman" w:eastAsia="Times New Roman" w:hAnsi="Times New Roman" w:cs="Times New Roman"/>
          <w:color w:val="222222"/>
          <w:sz w:val="24"/>
          <w:szCs w:val="24"/>
          <w:lang w:eastAsia="el-GR"/>
        </w:rPr>
      </w:pPr>
      <w:r w:rsidRPr="00E36734">
        <w:rPr>
          <w:noProof/>
          <w:lang w:eastAsia="el-GR"/>
        </w:rPr>
        <w:lastRenderedPageBreak/>
        <w:drawing>
          <wp:inline distT="0" distB="0" distL="0" distR="0" wp14:anchorId="63C41508" wp14:editId="16AA8677">
            <wp:extent cx="6499860" cy="3444240"/>
            <wp:effectExtent l="0" t="0" r="15240" b="22860"/>
            <wp:docPr id="13" name="Γράφημα 13">
              <a:extLst xmlns:a="http://schemas.openxmlformats.org/drawingml/2006/main">
                <a:ext uri="{FF2B5EF4-FFF2-40B4-BE49-F238E27FC236}">
                  <a16:creationId xmlns:a16="http://schemas.microsoft.com/office/drawing/2014/main" id="{931C5885-E001-4CE1-AC5C-53371FAF6A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7BEFC7" w14:textId="26F54AF0" w:rsidR="00906C6F" w:rsidRPr="00E36734" w:rsidRDefault="00A9257F" w:rsidP="00761263">
      <w:pPr>
        <w:spacing w:after="0" w:line="360" w:lineRule="auto"/>
        <w:jc w:val="both"/>
        <w:rPr>
          <w:rFonts w:ascii="Times New Roman" w:eastAsia="Times New Roman" w:hAnsi="Times New Roman" w:cs="Times New Roman"/>
          <w:color w:val="222222"/>
          <w:sz w:val="24"/>
          <w:szCs w:val="24"/>
          <w:lang w:eastAsia="el-GR"/>
        </w:rPr>
      </w:pPr>
      <w:r w:rsidRPr="00E36734">
        <w:rPr>
          <w:rFonts w:ascii="Times New Roman" w:eastAsia="Times New Roman" w:hAnsi="Times New Roman" w:cs="Times New Roman"/>
          <w:color w:val="222222"/>
          <w:sz w:val="24"/>
          <w:szCs w:val="24"/>
          <w:lang w:eastAsia="el-GR"/>
        </w:rPr>
        <w:t>Ειδικότ</w:t>
      </w:r>
      <w:r w:rsidR="004743E2" w:rsidRPr="00E36734">
        <w:rPr>
          <w:rFonts w:ascii="Times New Roman" w:eastAsia="Times New Roman" w:hAnsi="Times New Roman" w:cs="Times New Roman"/>
          <w:color w:val="222222"/>
          <w:sz w:val="24"/>
          <w:szCs w:val="24"/>
          <w:lang w:eastAsia="el-GR"/>
        </w:rPr>
        <w:t>ερα</w:t>
      </w:r>
      <w:r w:rsidR="009048DD" w:rsidRPr="00E36734">
        <w:rPr>
          <w:rFonts w:ascii="Times New Roman" w:eastAsia="Times New Roman" w:hAnsi="Times New Roman" w:cs="Times New Roman"/>
          <w:color w:val="222222"/>
          <w:sz w:val="24"/>
          <w:szCs w:val="24"/>
          <w:lang w:eastAsia="el-GR"/>
        </w:rPr>
        <w:t xml:space="preserve"> για το Β εξάμηνο του 2020</w:t>
      </w:r>
      <w:r w:rsidR="001D2F4E" w:rsidRPr="00E36734">
        <w:rPr>
          <w:rFonts w:ascii="Times New Roman" w:eastAsia="Times New Roman" w:hAnsi="Times New Roman" w:cs="Times New Roman"/>
          <w:color w:val="222222"/>
          <w:sz w:val="24"/>
          <w:szCs w:val="24"/>
          <w:lang w:eastAsia="el-GR"/>
        </w:rPr>
        <w:t>,</w:t>
      </w:r>
      <w:r w:rsidR="004743E2" w:rsidRPr="00E36734">
        <w:rPr>
          <w:rFonts w:ascii="Times New Roman" w:eastAsia="Times New Roman" w:hAnsi="Times New Roman" w:cs="Times New Roman"/>
          <w:color w:val="222222"/>
          <w:sz w:val="24"/>
          <w:szCs w:val="24"/>
          <w:lang w:eastAsia="el-GR"/>
        </w:rPr>
        <w:t xml:space="preserve"> </w:t>
      </w:r>
      <w:bookmarkStart w:id="4" w:name="_Hlk68074810"/>
      <w:r w:rsidR="004743E2" w:rsidRPr="00E36734">
        <w:rPr>
          <w:rFonts w:ascii="Times New Roman" w:eastAsia="Times New Roman" w:hAnsi="Times New Roman" w:cs="Times New Roman"/>
          <w:color w:val="222222"/>
          <w:sz w:val="24"/>
          <w:szCs w:val="24"/>
          <w:lang w:eastAsia="el-GR"/>
        </w:rPr>
        <w:t>8 στις 10 επιχειρήσεις (79,8</w:t>
      </w:r>
      <w:r w:rsidRPr="00E36734">
        <w:rPr>
          <w:rFonts w:ascii="Times New Roman" w:eastAsia="Times New Roman" w:hAnsi="Times New Roman" w:cs="Times New Roman"/>
          <w:color w:val="222222"/>
          <w:sz w:val="24"/>
          <w:szCs w:val="24"/>
          <w:lang w:eastAsia="el-GR"/>
        </w:rPr>
        <w:t>%) δήλωσαν πως η οικονομική κατάσταση τους επιδεινώθηκε</w:t>
      </w:r>
      <w:r w:rsidR="00307DCA" w:rsidRPr="00E36734">
        <w:rPr>
          <w:rFonts w:ascii="Times New Roman" w:eastAsia="Times New Roman" w:hAnsi="Times New Roman" w:cs="Times New Roman"/>
          <w:color w:val="222222"/>
          <w:sz w:val="24"/>
          <w:szCs w:val="24"/>
          <w:lang w:eastAsia="el-GR"/>
        </w:rPr>
        <w:t>,</w:t>
      </w:r>
      <w:r w:rsidRPr="00E36734">
        <w:rPr>
          <w:rFonts w:ascii="Times New Roman" w:eastAsia="Times New Roman" w:hAnsi="Times New Roman" w:cs="Times New Roman"/>
          <w:color w:val="222222"/>
          <w:sz w:val="24"/>
          <w:szCs w:val="24"/>
          <w:lang w:eastAsia="el-GR"/>
        </w:rPr>
        <w:t xml:space="preserve"> έναντι μόλι</w:t>
      </w:r>
      <w:r w:rsidR="004743E2" w:rsidRPr="00E36734">
        <w:rPr>
          <w:rFonts w:ascii="Times New Roman" w:eastAsia="Times New Roman" w:hAnsi="Times New Roman" w:cs="Times New Roman"/>
          <w:color w:val="222222"/>
          <w:sz w:val="24"/>
          <w:szCs w:val="24"/>
          <w:lang w:eastAsia="el-GR"/>
        </w:rPr>
        <w:t>ς 4,2</w:t>
      </w:r>
      <w:r w:rsidRPr="00E36734">
        <w:rPr>
          <w:rFonts w:ascii="Times New Roman" w:eastAsia="Times New Roman" w:hAnsi="Times New Roman" w:cs="Times New Roman"/>
          <w:color w:val="222222"/>
          <w:sz w:val="24"/>
          <w:szCs w:val="24"/>
          <w:lang w:eastAsia="el-GR"/>
        </w:rPr>
        <w:t>% πο</w:t>
      </w:r>
      <w:r w:rsidR="004743E2" w:rsidRPr="00E36734">
        <w:rPr>
          <w:rFonts w:ascii="Times New Roman" w:eastAsia="Times New Roman" w:hAnsi="Times New Roman" w:cs="Times New Roman"/>
          <w:color w:val="222222"/>
          <w:sz w:val="24"/>
          <w:szCs w:val="24"/>
          <w:lang w:eastAsia="el-GR"/>
        </w:rPr>
        <w:t>υ δήλωσε ότι βελτιώθηκε και 15,9</w:t>
      </w:r>
      <w:r w:rsidRPr="00E36734">
        <w:rPr>
          <w:rFonts w:ascii="Times New Roman" w:eastAsia="Times New Roman" w:hAnsi="Times New Roman" w:cs="Times New Roman"/>
          <w:color w:val="222222"/>
          <w:sz w:val="24"/>
          <w:szCs w:val="24"/>
          <w:lang w:eastAsia="el-GR"/>
        </w:rPr>
        <w:t>% που δήλωσε πως παρέμεινε αμετάβλητη</w:t>
      </w:r>
      <w:bookmarkEnd w:id="4"/>
      <w:r w:rsidRPr="00E36734">
        <w:rPr>
          <w:rFonts w:ascii="Times New Roman" w:eastAsia="Times New Roman" w:hAnsi="Times New Roman" w:cs="Times New Roman"/>
          <w:color w:val="222222"/>
          <w:sz w:val="24"/>
          <w:szCs w:val="24"/>
          <w:lang w:eastAsia="el-GR"/>
        </w:rPr>
        <w:t xml:space="preserve"> (Γράφημα 2).</w:t>
      </w:r>
    </w:p>
    <w:p w14:paraId="561DA84D" w14:textId="77777777" w:rsidR="00004C66" w:rsidRPr="00E36734" w:rsidRDefault="00A9257F" w:rsidP="00004C66">
      <w:pPr>
        <w:spacing w:after="0" w:line="360" w:lineRule="auto"/>
        <w:ind w:firstLine="360"/>
        <w:jc w:val="center"/>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sz w:val="24"/>
          <w:szCs w:val="24"/>
          <w:lang w:eastAsia="el-GR"/>
        </w:rPr>
        <w:t xml:space="preserve">Γράφημα </w:t>
      </w:r>
      <w:r w:rsidR="00761263" w:rsidRPr="00E36734">
        <w:rPr>
          <w:rFonts w:ascii="Times New Roman" w:eastAsia="Times New Roman" w:hAnsi="Times New Roman" w:cs="Times New Roman"/>
          <w:b/>
          <w:sz w:val="24"/>
          <w:szCs w:val="24"/>
          <w:lang w:eastAsia="el-GR"/>
        </w:rPr>
        <w:t>2</w:t>
      </w:r>
    </w:p>
    <w:p w14:paraId="1ECAE881" w14:textId="77A027A4" w:rsidR="00A9257F" w:rsidRPr="00E36734" w:rsidRDefault="00004C66" w:rsidP="00004C66">
      <w:pPr>
        <w:spacing w:after="0" w:line="360" w:lineRule="auto"/>
        <w:ind w:firstLine="360"/>
        <w:jc w:val="center"/>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sz w:val="24"/>
          <w:szCs w:val="24"/>
          <w:lang w:eastAsia="el-GR"/>
        </w:rPr>
        <w:t>Θεωρείτε ότι η οικονομική κατάσταση της επιχείρησής σας κατά το τελευταίο εξάμηνο :</w:t>
      </w:r>
      <w:r w:rsidR="004743E2" w:rsidRPr="00E36734">
        <w:rPr>
          <w:rFonts w:ascii="Times New Roman" w:hAnsi="Times New Roman" w:cs="Times New Roman"/>
          <w:b/>
          <w:noProof/>
          <w:sz w:val="24"/>
          <w:szCs w:val="24"/>
          <w:u w:val="single"/>
          <w:lang w:eastAsia="el-GR"/>
        </w:rPr>
        <w:drawing>
          <wp:inline distT="0" distB="0" distL="0" distR="0" wp14:anchorId="7B10E70D" wp14:editId="2ED3E396">
            <wp:extent cx="6202680" cy="2918460"/>
            <wp:effectExtent l="0" t="0" r="7620" b="15240"/>
            <wp:docPr id="23" name="Γράφημα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5633E2" w14:textId="2F112E75" w:rsidR="009048DD" w:rsidRPr="00E36734" w:rsidRDefault="009048DD" w:rsidP="00761263">
      <w:pPr>
        <w:spacing w:after="0" w:line="360" w:lineRule="auto"/>
        <w:jc w:val="both"/>
        <w:rPr>
          <w:rFonts w:ascii="Times New Roman" w:hAnsi="Times New Roman" w:cs="Times New Roman"/>
          <w:b/>
          <w:sz w:val="24"/>
          <w:szCs w:val="24"/>
          <w:u w:val="single"/>
        </w:rPr>
      </w:pPr>
    </w:p>
    <w:p w14:paraId="11BDD1B4" w14:textId="662EA9DA" w:rsidR="009048DD" w:rsidRPr="00E36734" w:rsidRDefault="009048DD" w:rsidP="00761263">
      <w:pPr>
        <w:spacing w:after="0" w:line="360" w:lineRule="auto"/>
        <w:jc w:val="both"/>
        <w:rPr>
          <w:rFonts w:ascii="Times New Roman" w:hAnsi="Times New Roman" w:cs="Times New Roman"/>
          <w:bCs/>
          <w:sz w:val="24"/>
          <w:szCs w:val="24"/>
        </w:rPr>
      </w:pPr>
      <w:r w:rsidRPr="00E36734">
        <w:rPr>
          <w:rFonts w:ascii="Times New Roman" w:hAnsi="Times New Roman" w:cs="Times New Roman"/>
          <w:bCs/>
          <w:sz w:val="24"/>
          <w:szCs w:val="24"/>
        </w:rPr>
        <w:t xml:space="preserve">Σε </w:t>
      </w:r>
      <w:r w:rsidR="00032562" w:rsidRPr="00E36734">
        <w:rPr>
          <w:rFonts w:ascii="Times New Roman" w:hAnsi="Times New Roman" w:cs="Times New Roman"/>
          <w:bCs/>
          <w:sz w:val="24"/>
          <w:szCs w:val="24"/>
        </w:rPr>
        <w:t>δυσμενέστερη</w:t>
      </w:r>
      <w:r w:rsidRPr="00E36734">
        <w:rPr>
          <w:rFonts w:ascii="Times New Roman" w:hAnsi="Times New Roman" w:cs="Times New Roman"/>
          <w:bCs/>
          <w:sz w:val="24"/>
          <w:szCs w:val="24"/>
        </w:rPr>
        <w:t xml:space="preserve"> θέση φαίνεται πως βρίσκονται οι επιχειρήσεις που </w:t>
      </w:r>
      <w:r w:rsidR="00032562" w:rsidRPr="00E36734">
        <w:rPr>
          <w:rFonts w:ascii="Times New Roman" w:hAnsi="Times New Roman" w:cs="Times New Roman"/>
          <w:bCs/>
          <w:sz w:val="24"/>
          <w:szCs w:val="24"/>
        </w:rPr>
        <w:t>δραστηριοποιούνται</w:t>
      </w:r>
      <w:r w:rsidRPr="00E36734">
        <w:rPr>
          <w:rFonts w:ascii="Times New Roman" w:hAnsi="Times New Roman" w:cs="Times New Roman"/>
          <w:bCs/>
          <w:sz w:val="24"/>
          <w:szCs w:val="24"/>
        </w:rPr>
        <w:t xml:space="preserve"> στον τομέα των υπηρεσιών (83%), οι μεγαλύτερες σε </w:t>
      </w:r>
      <w:r w:rsidR="00032562" w:rsidRPr="00E36734">
        <w:rPr>
          <w:rFonts w:ascii="Times New Roman" w:hAnsi="Times New Roman" w:cs="Times New Roman"/>
          <w:bCs/>
          <w:sz w:val="24"/>
          <w:szCs w:val="24"/>
        </w:rPr>
        <w:t>ηλικία</w:t>
      </w:r>
      <w:r w:rsidRPr="00E36734">
        <w:rPr>
          <w:rFonts w:ascii="Times New Roman" w:hAnsi="Times New Roman" w:cs="Times New Roman"/>
          <w:bCs/>
          <w:sz w:val="24"/>
          <w:szCs w:val="24"/>
        </w:rPr>
        <w:t xml:space="preserve"> επιχειρήσεις (το 81% των επιχειρήσεων με πάνω από 15 έτη </w:t>
      </w:r>
      <w:r w:rsidR="00032562" w:rsidRPr="00E36734">
        <w:rPr>
          <w:rFonts w:ascii="Times New Roman" w:hAnsi="Times New Roman" w:cs="Times New Roman"/>
          <w:bCs/>
          <w:sz w:val="24"/>
          <w:szCs w:val="24"/>
        </w:rPr>
        <w:lastRenderedPageBreak/>
        <w:t>λειτουργίας</w:t>
      </w:r>
      <w:r w:rsidRPr="00E36734">
        <w:rPr>
          <w:rFonts w:ascii="Times New Roman" w:hAnsi="Times New Roman" w:cs="Times New Roman"/>
          <w:bCs/>
          <w:sz w:val="24"/>
          <w:szCs w:val="24"/>
        </w:rPr>
        <w:t xml:space="preserve"> </w:t>
      </w:r>
      <w:r w:rsidR="00032562" w:rsidRPr="00E36734">
        <w:rPr>
          <w:rFonts w:ascii="Times New Roman" w:hAnsi="Times New Roman" w:cs="Times New Roman"/>
          <w:bCs/>
          <w:sz w:val="24"/>
          <w:szCs w:val="24"/>
        </w:rPr>
        <w:t>δήλωσε</w:t>
      </w:r>
      <w:r w:rsidRPr="00E36734">
        <w:rPr>
          <w:rFonts w:ascii="Times New Roman" w:hAnsi="Times New Roman" w:cs="Times New Roman"/>
          <w:bCs/>
          <w:sz w:val="24"/>
          <w:szCs w:val="24"/>
        </w:rPr>
        <w:t xml:space="preserve"> πως </w:t>
      </w:r>
      <w:r w:rsidR="00032562" w:rsidRPr="00E36734">
        <w:rPr>
          <w:rFonts w:ascii="Times New Roman" w:hAnsi="Times New Roman" w:cs="Times New Roman"/>
          <w:bCs/>
          <w:sz w:val="24"/>
          <w:szCs w:val="24"/>
        </w:rPr>
        <w:t>επιδεινώθηκε</w:t>
      </w:r>
      <w:r w:rsidRPr="00E36734">
        <w:rPr>
          <w:rFonts w:ascii="Times New Roman" w:hAnsi="Times New Roman" w:cs="Times New Roman"/>
          <w:bCs/>
          <w:sz w:val="24"/>
          <w:szCs w:val="24"/>
        </w:rPr>
        <w:t xml:space="preserve"> η οικονομική του κατάσταση), οι μικρότερες με βάση τον τζίρο </w:t>
      </w:r>
      <w:r w:rsidR="00032562" w:rsidRPr="00E36734">
        <w:rPr>
          <w:rFonts w:ascii="Times New Roman" w:hAnsi="Times New Roman" w:cs="Times New Roman"/>
          <w:bCs/>
          <w:sz w:val="24"/>
          <w:szCs w:val="24"/>
        </w:rPr>
        <w:t xml:space="preserve">επιχειρήσεις </w:t>
      </w:r>
      <w:r w:rsidRPr="00E36734">
        <w:rPr>
          <w:rFonts w:ascii="Times New Roman" w:hAnsi="Times New Roman" w:cs="Times New Roman"/>
          <w:bCs/>
          <w:sz w:val="24"/>
          <w:szCs w:val="24"/>
        </w:rPr>
        <w:t>(</w:t>
      </w:r>
      <w:r w:rsidR="00032562" w:rsidRPr="00E36734">
        <w:rPr>
          <w:rFonts w:ascii="Times New Roman" w:hAnsi="Times New Roman" w:cs="Times New Roman"/>
          <w:bCs/>
          <w:sz w:val="24"/>
          <w:szCs w:val="24"/>
        </w:rPr>
        <w:t xml:space="preserve">το 88% των επιχειρήσεων με τζίρο </w:t>
      </w:r>
      <w:r w:rsidR="00483ED8" w:rsidRPr="00E36734">
        <w:rPr>
          <w:rFonts w:ascii="Times New Roman" w:hAnsi="Times New Roman" w:cs="Times New Roman"/>
          <w:bCs/>
          <w:sz w:val="24"/>
          <w:szCs w:val="24"/>
        </w:rPr>
        <w:t>κάτω από</w:t>
      </w:r>
      <w:r w:rsidRPr="00E36734">
        <w:rPr>
          <w:rFonts w:ascii="Times New Roman" w:hAnsi="Times New Roman" w:cs="Times New Roman"/>
          <w:bCs/>
          <w:sz w:val="24"/>
          <w:szCs w:val="24"/>
        </w:rPr>
        <w:t xml:space="preserve"> 50.000€</w:t>
      </w:r>
      <w:r w:rsidR="00032562" w:rsidRPr="00E36734">
        <w:rPr>
          <w:rFonts w:ascii="Times New Roman" w:hAnsi="Times New Roman" w:cs="Times New Roman"/>
          <w:bCs/>
          <w:sz w:val="24"/>
          <w:szCs w:val="24"/>
        </w:rPr>
        <w:t xml:space="preserve"> δήλωσε επιδείνωση της οικονομικής του κατάστασης το τελευταίο εξάμηνο</w:t>
      </w:r>
      <w:r w:rsidRPr="00E36734">
        <w:rPr>
          <w:rFonts w:ascii="Times New Roman" w:hAnsi="Times New Roman" w:cs="Times New Roman"/>
          <w:bCs/>
          <w:sz w:val="24"/>
          <w:szCs w:val="24"/>
        </w:rPr>
        <w:t>)</w:t>
      </w:r>
      <w:r w:rsidR="00032562" w:rsidRPr="00E36734">
        <w:rPr>
          <w:rFonts w:ascii="Times New Roman" w:hAnsi="Times New Roman" w:cs="Times New Roman"/>
          <w:bCs/>
          <w:sz w:val="24"/>
          <w:szCs w:val="24"/>
        </w:rPr>
        <w:t>, οι επιχειρήσεις που δραστηριοποιούνται στην κεντρική Ελλάδα (85,1%), οι επιχειρήσεις χωρίς προσωπικό (84,1%), και οι επιχειρήσεις με 1 άτομο προσωπικό (82,6%) και με 4</w:t>
      </w:r>
      <w:r w:rsidR="00483ED8" w:rsidRPr="00E36734">
        <w:rPr>
          <w:rFonts w:ascii="Times New Roman" w:hAnsi="Times New Roman" w:cs="Times New Roman"/>
          <w:bCs/>
          <w:sz w:val="24"/>
          <w:szCs w:val="24"/>
        </w:rPr>
        <w:t>-</w:t>
      </w:r>
      <w:r w:rsidR="00032562" w:rsidRPr="00E36734">
        <w:rPr>
          <w:rFonts w:ascii="Times New Roman" w:hAnsi="Times New Roman" w:cs="Times New Roman"/>
          <w:bCs/>
          <w:sz w:val="24"/>
          <w:szCs w:val="24"/>
        </w:rPr>
        <w:t xml:space="preserve">5 άτομα προσωπικό (84,4%). </w:t>
      </w:r>
    </w:p>
    <w:p w14:paraId="12E8A441" w14:textId="3FB7689A" w:rsidR="00AA2C38" w:rsidRPr="00E36734" w:rsidRDefault="00AA2C38" w:rsidP="00AA2C38">
      <w:pPr>
        <w:spacing w:after="0" w:line="360" w:lineRule="auto"/>
        <w:jc w:val="both"/>
        <w:rPr>
          <w:rFonts w:ascii="Times New Roman" w:hAnsi="Times New Roman" w:cs="Times New Roman"/>
          <w:bCs/>
          <w:sz w:val="24"/>
          <w:szCs w:val="24"/>
        </w:rPr>
      </w:pPr>
      <w:r w:rsidRPr="00E36734">
        <w:rPr>
          <w:rFonts w:ascii="Times New Roman" w:hAnsi="Times New Roman" w:cs="Times New Roman"/>
          <w:bCs/>
          <w:sz w:val="24"/>
          <w:szCs w:val="24"/>
        </w:rPr>
        <w:t>Από την άλλη μεριά, σχετικά καλύτερα είναι τα ευρήματα για τις μεγαλύτερες με βάση τον κύκλο εργασιών (62,3%) και τον αριθμό εργαζομένων επιχειρήσεις (71,7%),</w:t>
      </w:r>
      <w:r w:rsidR="00483ED8" w:rsidRPr="00E36734">
        <w:rPr>
          <w:rFonts w:ascii="Times New Roman" w:hAnsi="Times New Roman" w:cs="Times New Roman"/>
          <w:bCs/>
          <w:sz w:val="24"/>
          <w:szCs w:val="24"/>
        </w:rPr>
        <w:t xml:space="preserve"> όπως και των νέων επιχειρήσεων (70,9%),</w:t>
      </w:r>
      <w:r w:rsidRPr="00E36734">
        <w:rPr>
          <w:rFonts w:ascii="Times New Roman" w:hAnsi="Times New Roman" w:cs="Times New Roman"/>
          <w:bCs/>
          <w:sz w:val="24"/>
          <w:szCs w:val="24"/>
        </w:rPr>
        <w:t xml:space="preserve"> καθώς τα ποσοστά </w:t>
      </w:r>
      <w:r w:rsidR="00483ED8" w:rsidRPr="00E36734">
        <w:rPr>
          <w:rFonts w:ascii="Times New Roman" w:hAnsi="Times New Roman" w:cs="Times New Roman"/>
          <w:bCs/>
          <w:sz w:val="24"/>
          <w:szCs w:val="24"/>
        </w:rPr>
        <w:t>τους που δείχνουν την</w:t>
      </w:r>
      <w:r w:rsidRPr="00E36734">
        <w:rPr>
          <w:rFonts w:ascii="Times New Roman" w:hAnsi="Times New Roman" w:cs="Times New Roman"/>
          <w:bCs/>
          <w:sz w:val="24"/>
          <w:szCs w:val="24"/>
        </w:rPr>
        <w:t xml:space="preserve"> </w:t>
      </w:r>
      <w:r w:rsidR="00483ED8" w:rsidRPr="00E36734">
        <w:rPr>
          <w:rFonts w:ascii="Times New Roman" w:hAnsi="Times New Roman" w:cs="Times New Roman"/>
          <w:bCs/>
          <w:sz w:val="24"/>
          <w:szCs w:val="24"/>
        </w:rPr>
        <w:t>επιδείνωση της</w:t>
      </w:r>
      <w:r w:rsidRPr="00E36734">
        <w:rPr>
          <w:rFonts w:ascii="Times New Roman" w:hAnsi="Times New Roman" w:cs="Times New Roman"/>
          <w:bCs/>
          <w:sz w:val="24"/>
          <w:szCs w:val="24"/>
        </w:rPr>
        <w:t xml:space="preserve"> οικονομική τους κατάσταση είναι σημαντικά χαμηλότερα έναντι των άλλων (Γράφημα 3). </w:t>
      </w:r>
    </w:p>
    <w:p w14:paraId="30F4BD3F" w14:textId="2002362E" w:rsidR="00AA2C38" w:rsidRPr="00E36734" w:rsidRDefault="00AA2C38" w:rsidP="00AA2C38">
      <w:pPr>
        <w:spacing w:after="0" w:line="360" w:lineRule="auto"/>
        <w:jc w:val="both"/>
        <w:rPr>
          <w:rFonts w:ascii="Times New Roman" w:hAnsi="Times New Roman" w:cs="Times New Roman"/>
          <w:bCs/>
          <w:sz w:val="24"/>
          <w:szCs w:val="24"/>
        </w:rPr>
      </w:pPr>
      <w:r w:rsidRPr="00E36734">
        <w:rPr>
          <w:rFonts w:ascii="Times New Roman" w:hAnsi="Times New Roman" w:cs="Times New Roman"/>
          <w:bCs/>
          <w:sz w:val="24"/>
          <w:szCs w:val="24"/>
        </w:rPr>
        <w:t xml:space="preserve">Οι προαναφερόμενες διαφοροποιήσεις μεταξύ των επιμέρους κατηγοριών επιχειρήσεων σε γενικές γραμμές παρουσιάζουν την ίδια ακολουθία στους δείκτες αποτιμήσεις </w:t>
      </w:r>
      <w:r w:rsidR="00BC68A9" w:rsidRPr="00E36734">
        <w:rPr>
          <w:rFonts w:ascii="Times New Roman" w:hAnsi="Times New Roman" w:cs="Times New Roman"/>
          <w:bCs/>
          <w:sz w:val="24"/>
          <w:szCs w:val="24"/>
        </w:rPr>
        <w:t xml:space="preserve">εξαμήνου </w:t>
      </w:r>
      <w:r w:rsidRPr="00E36734">
        <w:rPr>
          <w:rFonts w:ascii="Times New Roman" w:hAnsi="Times New Roman" w:cs="Times New Roman"/>
          <w:bCs/>
          <w:sz w:val="24"/>
          <w:szCs w:val="24"/>
        </w:rPr>
        <w:t>της οικονομικής κατάστασης των</w:t>
      </w:r>
      <w:r w:rsidR="00E47175" w:rsidRPr="00E36734">
        <w:rPr>
          <w:rFonts w:ascii="Times New Roman" w:hAnsi="Times New Roman" w:cs="Times New Roman"/>
          <w:bCs/>
          <w:sz w:val="24"/>
          <w:szCs w:val="24"/>
        </w:rPr>
        <w:t xml:space="preserve"> μικρών και </w:t>
      </w:r>
      <w:r w:rsidRPr="00E36734">
        <w:rPr>
          <w:rFonts w:ascii="Times New Roman" w:hAnsi="Times New Roman" w:cs="Times New Roman"/>
          <w:bCs/>
          <w:sz w:val="24"/>
          <w:szCs w:val="24"/>
        </w:rPr>
        <w:t xml:space="preserve"> πολύ μικρών επιχειρήσεων της παρούσας ερευνάς. </w:t>
      </w:r>
    </w:p>
    <w:p w14:paraId="4F9A85EB" w14:textId="77777777" w:rsidR="00E47175" w:rsidRPr="00E36734" w:rsidRDefault="00E47175" w:rsidP="00ED02ED">
      <w:pPr>
        <w:spacing w:after="0" w:line="360" w:lineRule="auto"/>
        <w:rPr>
          <w:rFonts w:ascii="Times New Roman" w:hAnsi="Times New Roman" w:cs="Times New Roman"/>
          <w:b/>
          <w:sz w:val="24"/>
          <w:szCs w:val="24"/>
        </w:rPr>
      </w:pPr>
    </w:p>
    <w:p w14:paraId="79DF1B73" w14:textId="39215A85" w:rsidR="00AA2C38" w:rsidRPr="00E36734" w:rsidRDefault="00AA2C38" w:rsidP="00AA2C38">
      <w:pPr>
        <w:spacing w:after="0" w:line="360" w:lineRule="auto"/>
        <w:jc w:val="center"/>
        <w:rPr>
          <w:rFonts w:ascii="Times New Roman" w:hAnsi="Times New Roman" w:cs="Times New Roman"/>
          <w:b/>
          <w:sz w:val="24"/>
          <w:szCs w:val="24"/>
        </w:rPr>
      </w:pPr>
      <w:r w:rsidRPr="00E36734">
        <w:rPr>
          <w:rFonts w:ascii="Times New Roman" w:hAnsi="Times New Roman" w:cs="Times New Roman"/>
          <w:b/>
          <w:sz w:val="24"/>
          <w:szCs w:val="24"/>
        </w:rPr>
        <w:t>Γράφημα 3</w:t>
      </w:r>
    </w:p>
    <w:p w14:paraId="1DFE18D8" w14:textId="64AE3FA9" w:rsidR="00AA2C38" w:rsidRPr="00E36734" w:rsidRDefault="00AA2C38" w:rsidP="00ED02ED">
      <w:pPr>
        <w:spacing w:after="0" w:line="360" w:lineRule="auto"/>
        <w:jc w:val="center"/>
        <w:rPr>
          <w:rFonts w:ascii="Times New Roman" w:hAnsi="Times New Roman" w:cs="Times New Roman"/>
          <w:b/>
          <w:sz w:val="24"/>
          <w:szCs w:val="24"/>
        </w:rPr>
      </w:pPr>
      <w:r w:rsidRPr="00E36734">
        <w:rPr>
          <w:rFonts w:ascii="Times New Roman" w:hAnsi="Times New Roman" w:cs="Times New Roman"/>
          <w:b/>
          <w:sz w:val="24"/>
          <w:szCs w:val="24"/>
        </w:rPr>
        <w:t>Αποτίμηση οικονομικού κλίματος ΜΜΕ τελευταίου εξαμήνου</w:t>
      </w:r>
      <w:r w:rsidRPr="00E36734">
        <w:rPr>
          <w:rFonts w:ascii="Times New Roman" w:hAnsi="Times New Roman" w:cs="Times New Roman"/>
          <w:b/>
          <w:sz w:val="24"/>
          <w:szCs w:val="24"/>
        </w:rPr>
        <w:br/>
        <w:t xml:space="preserve"> - Ανά κατηγορία -</w:t>
      </w:r>
    </w:p>
    <w:p w14:paraId="3C00A487" w14:textId="081DAB6A" w:rsidR="00AA2C38" w:rsidRPr="00E36734" w:rsidRDefault="00AA2C38" w:rsidP="00AA2C38">
      <w:pPr>
        <w:spacing w:after="0" w:line="360" w:lineRule="auto"/>
        <w:jc w:val="both"/>
        <w:rPr>
          <w:rFonts w:ascii="Times New Roman" w:hAnsi="Times New Roman" w:cs="Times New Roman"/>
          <w:bCs/>
          <w:sz w:val="24"/>
          <w:szCs w:val="24"/>
        </w:rPr>
      </w:pPr>
      <w:r w:rsidRPr="00E36734">
        <w:rPr>
          <w:rFonts w:ascii="Times New Roman" w:hAnsi="Times New Roman" w:cs="Times New Roman"/>
          <w:b/>
          <w:noProof/>
          <w:sz w:val="24"/>
          <w:szCs w:val="24"/>
          <w:u w:val="single"/>
          <w:lang w:eastAsia="el-GR"/>
        </w:rPr>
        <w:drawing>
          <wp:inline distT="0" distB="0" distL="0" distR="0" wp14:anchorId="4CD2F2A8" wp14:editId="53B3EC86">
            <wp:extent cx="6522720" cy="4381500"/>
            <wp:effectExtent l="0" t="0" r="11430" b="19050"/>
            <wp:docPr id="24" name="Γράφημα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A88493" w14:textId="2B48AC82" w:rsidR="00E47175" w:rsidRPr="00E36734" w:rsidRDefault="00BC68A9" w:rsidP="00AA2C38">
      <w:pPr>
        <w:spacing w:after="0" w:line="360" w:lineRule="auto"/>
        <w:jc w:val="both"/>
        <w:rPr>
          <w:rFonts w:ascii="Times New Roman" w:hAnsi="Times New Roman" w:cs="Times New Roman"/>
          <w:bCs/>
          <w:sz w:val="24"/>
          <w:szCs w:val="24"/>
        </w:rPr>
      </w:pPr>
      <w:r w:rsidRPr="00E36734">
        <w:rPr>
          <w:rFonts w:ascii="Times New Roman" w:hAnsi="Times New Roman" w:cs="Times New Roman"/>
          <w:bCs/>
          <w:sz w:val="24"/>
          <w:szCs w:val="24"/>
        </w:rPr>
        <w:lastRenderedPageBreak/>
        <w:t xml:space="preserve">Πλέον των παραπάνω σε δυσμενέστερη θέση φαίνεται πως βρίσκονται οι επιχειρήσεις που έχουν αναστείλει την λειτουργία τους με κρατική εντολή, καθώς το 91,6% των επιχειρήσεων αυτών δήλωσε πως το τελευταίο εξάμηνο επιδεινώθηκε η οικονομική του κατάσταση. Επίσης το 83,2% των επιχειρήσεων που ανήκουν στην κατηγορία των πληττόμενων </w:t>
      </w:r>
      <w:r w:rsidR="00004C66" w:rsidRPr="00E36734">
        <w:rPr>
          <w:rFonts w:ascii="Times New Roman" w:hAnsi="Times New Roman" w:cs="Times New Roman"/>
          <w:bCs/>
          <w:sz w:val="24"/>
          <w:szCs w:val="24"/>
        </w:rPr>
        <w:t>δήλωσ</w:t>
      </w:r>
      <w:r w:rsidR="00E47175" w:rsidRPr="00E36734">
        <w:rPr>
          <w:rFonts w:ascii="Times New Roman" w:hAnsi="Times New Roman" w:cs="Times New Roman"/>
          <w:bCs/>
          <w:sz w:val="24"/>
          <w:szCs w:val="24"/>
        </w:rPr>
        <w:t>ε</w:t>
      </w:r>
      <w:r w:rsidRPr="00E36734">
        <w:rPr>
          <w:rFonts w:ascii="Times New Roman" w:hAnsi="Times New Roman" w:cs="Times New Roman"/>
          <w:bCs/>
          <w:sz w:val="24"/>
          <w:szCs w:val="24"/>
        </w:rPr>
        <w:t xml:space="preserve"> πως </w:t>
      </w:r>
      <w:r w:rsidR="00004C66" w:rsidRPr="00E36734">
        <w:rPr>
          <w:rFonts w:ascii="Times New Roman" w:hAnsi="Times New Roman" w:cs="Times New Roman"/>
          <w:bCs/>
          <w:sz w:val="24"/>
          <w:szCs w:val="24"/>
        </w:rPr>
        <w:t>επιδεινώθηκε</w:t>
      </w:r>
      <w:r w:rsidRPr="00E36734">
        <w:rPr>
          <w:rFonts w:ascii="Times New Roman" w:hAnsi="Times New Roman" w:cs="Times New Roman"/>
          <w:bCs/>
          <w:sz w:val="24"/>
          <w:szCs w:val="24"/>
        </w:rPr>
        <w:t xml:space="preserve"> η οικονομική του κατάσταση το </w:t>
      </w:r>
      <w:r w:rsidR="00004C66" w:rsidRPr="00E36734">
        <w:rPr>
          <w:rFonts w:ascii="Times New Roman" w:hAnsi="Times New Roman" w:cs="Times New Roman"/>
          <w:bCs/>
          <w:sz w:val="24"/>
          <w:szCs w:val="24"/>
        </w:rPr>
        <w:t>τελευταίο</w:t>
      </w:r>
      <w:r w:rsidRPr="00E36734">
        <w:rPr>
          <w:rFonts w:ascii="Times New Roman" w:hAnsi="Times New Roman" w:cs="Times New Roman"/>
          <w:bCs/>
          <w:sz w:val="24"/>
          <w:szCs w:val="24"/>
        </w:rPr>
        <w:t xml:space="preserve"> εξάμηνο. Από την άλλη μεριά </w:t>
      </w:r>
      <w:r w:rsidR="00E47175" w:rsidRPr="00E36734">
        <w:rPr>
          <w:rFonts w:ascii="Times New Roman" w:hAnsi="Times New Roman" w:cs="Times New Roman"/>
          <w:bCs/>
          <w:sz w:val="24"/>
          <w:szCs w:val="24"/>
        </w:rPr>
        <w:t>χαμηλότερο είναι το ποσοστό (</w:t>
      </w:r>
      <w:r w:rsidRPr="00E36734">
        <w:rPr>
          <w:rFonts w:ascii="Times New Roman" w:hAnsi="Times New Roman" w:cs="Times New Roman"/>
          <w:bCs/>
          <w:sz w:val="24"/>
          <w:szCs w:val="24"/>
        </w:rPr>
        <w:t>59%</w:t>
      </w:r>
      <w:r w:rsidR="00E47175" w:rsidRPr="00E36734">
        <w:rPr>
          <w:rFonts w:ascii="Times New Roman" w:hAnsi="Times New Roman" w:cs="Times New Roman"/>
          <w:bCs/>
          <w:sz w:val="24"/>
          <w:szCs w:val="24"/>
        </w:rPr>
        <w:t>)</w:t>
      </w:r>
      <w:r w:rsidRPr="00E36734">
        <w:rPr>
          <w:rFonts w:ascii="Times New Roman" w:hAnsi="Times New Roman" w:cs="Times New Roman"/>
          <w:bCs/>
          <w:sz w:val="24"/>
          <w:szCs w:val="24"/>
        </w:rPr>
        <w:t xml:space="preserve"> των επιχειρήσεων που δεν εμπίπτουν σε καμία από τις παραπάνω </w:t>
      </w:r>
      <w:r w:rsidR="001D2F4E" w:rsidRPr="00E36734">
        <w:rPr>
          <w:rFonts w:ascii="Times New Roman" w:hAnsi="Times New Roman" w:cs="Times New Roman"/>
          <w:bCs/>
          <w:sz w:val="24"/>
          <w:szCs w:val="24"/>
        </w:rPr>
        <w:t xml:space="preserve">κατηγορίες </w:t>
      </w:r>
      <w:r w:rsidR="00E47175" w:rsidRPr="00E36734">
        <w:rPr>
          <w:rFonts w:ascii="Times New Roman" w:hAnsi="Times New Roman" w:cs="Times New Roman"/>
          <w:bCs/>
          <w:sz w:val="24"/>
          <w:szCs w:val="24"/>
        </w:rPr>
        <w:t xml:space="preserve">και </w:t>
      </w:r>
      <w:r w:rsidRPr="00E36734">
        <w:rPr>
          <w:rFonts w:ascii="Times New Roman" w:hAnsi="Times New Roman" w:cs="Times New Roman"/>
          <w:bCs/>
          <w:sz w:val="24"/>
          <w:szCs w:val="24"/>
        </w:rPr>
        <w:t xml:space="preserve">δήλωσε πως το τελευταίο εξάμηνο </w:t>
      </w:r>
      <w:r w:rsidR="00004C66" w:rsidRPr="00E36734">
        <w:rPr>
          <w:rFonts w:ascii="Times New Roman" w:hAnsi="Times New Roman" w:cs="Times New Roman"/>
          <w:bCs/>
          <w:sz w:val="24"/>
          <w:szCs w:val="24"/>
        </w:rPr>
        <w:t>επιδεινώθηκε</w:t>
      </w:r>
      <w:r w:rsidRPr="00E36734">
        <w:rPr>
          <w:rFonts w:ascii="Times New Roman" w:hAnsi="Times New Roman" w:cs="Times New Roman"/>
          <w:bCs/>
          <w:sz w:val="24"/>
          <w:szCs w:val="24"/>
        </w:rPr>
        <w:t xml:space="preserve"> η </w:t>
      </w:r>
      <w:r w:rsidR="00004C66" w:rsidRPr="00E36734">
        <w:rPr>
          <w:rFonts w:ascii="Times New Roman" w:hAnsi="Times New Roman" w:cs="Times New Roman"/>
          <w:bCs/>
          <w:sz w:val="24"/>
          <w:szCs w:val="24"/>
        </w:rPr>
        <w:t>οικονομική</w:t>
      </w:r>
      <w:r w:rsidRPr="00E36734">
        <w:rPr>
          <w:rFonts w:ascii="Times New Roman" w:hAnsi="Times New Roman" w:cs="Times New Roman"/>
          <w:bCs/>
          <w:sz w:val="24"/>
          <w:szCs w:val="24"/>
        </w:rPr>
        <w:t xml:space="preserve"> του κατάσταση</w:t>
      </w:r>
      <w:r w:rsidR="00004C66" w:rsidRPr="00E36734">
        <w:rPr>
          <w:rFonts w:ascii="Times New Roman" w:hAnsi="Times New Roman" w:cs="Times New Roman"/>
          <w:bCs/>
          <w:sz w:val="24"/>
          <w:szCs w:val="24"/>
        </w:rPr>
        <w:t>. Το ποσοστό αυτό</w:t>
      </w:r>
      <w:r w:rsidR="00B800A3" w:rsidRPr="00E36734">
        <w:rPr>
          <w:rFonts w:ascii="Times New Roman" w:hAnsi="Times New Roman" w:cs="Times New Roman"/>
          <w:bCs/>
          <w:sz w:val="24"/>
          <w:szCs w:val="24"/>
        </w:rPr>
        <w:t>,</w:t>
      </w:r>
      <w:r w:rsidR="00004C66" w:rsidRPr="00E36734">
        <w:rPr>
          <w:rFonts w:ascii="Times New Roman" w:hAnsi="Times New Roman" w:cs="Times New Roman"/>
          <w:bCs/>
          <w:sz w:val="24"/>
          <w:szCs w:val="24"/>
        </w:rPr>
        <w:t xml:space="preserve"> παρόλο που είναι πολύ χαμηλότερο σε σχέση με τις επιχειρήσεις που </w:t>
      </w:r>
      <w:r w:rsidR="008345E5" w:rsidRPr="00E36734">
        <w:rPr>
          <w:rFonts w:ascii="Times New Roman" w:hAnsi="Times New Roman" w:cs="Times New Roman"/>
          <w:bCs/>
          <w:sz w:val="24"/>
          <w:szCs w:val="24"/>
        </w:rPr>
        <w:t>ανέστειλα</w:t>
      </w:r>
      <w:r w:rsidR="00E47175" w:rsidRPr="00E36734">
        <w:rPr>
          <w:rFonts w:ascii="Times New Roman" w:hAnsi="Times New Roman" w:cs="Times New Roman"/>
          <w:bCs/>
          <w:sz w:val="24"/>
          <w:szCs w:val="24"/>
        </w:rPr>
        <w:t>ν</w:t>
      </w:r>
      <w:r w:rsidR="008345E5" w:rsidRPr="00E36734">
        <w:rPr>
          <w:rFonts w:ascii="Times New Roman" w:hAnsi="Times New Roman" w:cs="Times New Roman"/>
          <w:bCs/>
          <w:sz w:val="24"/>
          <w:szCs w:val="24"/>
        </w:rPr>
        <w:t xml:space="preserve"> την λειτουργία τους</w:t>
      </w:r>
      <w:r w:rsidR="00004C66" w:rsidRPr="00E36734">
        <w:rPr>
          <w:rFonts w:ascii="Times New Roman" w:hAnsi="Times New Roman" w:cs="Times New Roman"/>
          <w:bCs/>
          <w:sz w:val="24"/>
          <w:szCs w:val="24"/>
        </w:rPr>
        <w:t xml:space="preserve"> με κρατική εντολή ή/και ορίστηκαν ως πληττόμενες</w:t>
      </w:r>
      <w:r w:rsidR="00B800A3" w:rsidRPr="00E36734">
        <w:rPr>
          <w:rFonts w:ascii="Times New Roman" w:hAnsi="Times New Roman" w:cs="Times New Roman"/>
          <w:bCs/>
          <w:sz w:val="24"/>
          <w:szCs w:val="24"/>
        </w:rPr>
        <w:t>,</w:t>
      </w:r>
      <w:r w:rsidR="00004C66" w:rsidRPr="00E36734">
        <w:rPr>
          <w:rFonts w:ascii="Times New Roman" w:hAnsi="Times New Roman" w:cs="Times New Roman"/>
          <w:bCs/>
          <w:sz w:val="24"/>
          <w:szCs w:val="24"/>
        </w:rPr>
        <w:t xml:space="preserve"> παραμένει </w:t>
      </w:r>
      <w:r w:rsidR="008345E5" w:rsidRPr="00E36734">
        <w:rPr>
          <w:rFonts w:ascii="Times New Roman" w:hAnsi="Times New Roman" w:cs="Times New Roman"/>
          <w:bCs/>
          <w:sz w:val="24"/>
          <w:szCs w:val="24"/>
        </w:rPr>
        <w:t>ιδιαίτερα</w:t>
      </w:r>
      <w:r w:rsidR="00004C66" w:rsidRPr="00E36734">
        <w:rPr>
          <w:rFonts w:ascii="Times New Roman" w:hAnsi="Times New Roman" w:cs="Times New Roman"/>
          <w:bCs/>
          <w:sz w:val="24"/>
          <w:szCs w:val="24"/>
        </w:rPr>
        <w:t xml:space="preserve"> </w:t>
      </w:r>
      <w:r w:rsidR="0091560F" w:rsidRPr="00E36734">
        <w:rPr>
          <w:rFonts w:ascii="Times New Roman" w:hAnsi="Times New Roman" w:cs="Times New Roman"/>
          <w:bCs/>
          <w:sz w:val="24"/>
          <w:szCs w:val="24"/>
        </w:rPr>
        <w:t>υψηλό</w:t>
      </w:r>
      <w:r w:rsidR="00004C66" w:rsidRPr="00E36734">
        <w:rPr>
          <w:rFonts w:ascii="Times New Roman" w:hAnsi="Times New Roman" w:cs="Times New Roman"/>
          <w:bCs/>
          <w:sz w:val="24"/>
          <w:szCs w:val="24"/>
        </w:rPr>
        <w:t xml:space="preserve"> </w:t>
      </w:r>
      <w:r w:rsidR="008345E5" w:rsidRPr="00E36734">
        <w:rPr>
          <w:rFonts w:ascii="Times New Roman" w:hAnsi="Times New Roman" w:cs="Times New Roman"/>
          <w:bCs/>
          <w:sz w:val="24"/>
          <w:szCs w:val="24"/>
        </w:rPr>
        <w:t xml:space="preserve">γεγονός </w:t>
      </w:r>
      <w:r w:rsidR="00004C66" w:rsidRPr="00E36734">
        <w:rPr>
          <w:rFonts w:ascii="Times New Roman" w:hAnsi="Times New Roman" w:cs="Times New Roman"/>
          <w:bCs/>
          <w:sz w:val="24"/>
          <w:szCs w:val="24"/>
        </w:rPr>
        <w:t xml:space="preserve">που καταδεικνύει το μέγεθος της οικονομικής καθίζησης που υπέστησαν οι πολύ μικρές και </w:t>
      </w:r>
      <w:r w:rsidR="008345E5" w:rsidRPr="00E36734">
        <w:rPr>
          <w:rFonts w:ascii="Times New Roman" w:hAnsi="Times New Roman" w:cs="Times New Roman"/>
          <w:bCs/>
          <w:sz w:val="24"/>
          <w:szCs w:val="24"/>
        </w:rPr>
        <w:t>μικρές</w:t>
      </w:r>
      <w:r w:rsidR="00004C66" w:rsidRPr="00E36734">
        <w:rPr>
          <w:rFonts w:ascii="Times New Roman" w:hAnsi="Times New Roman" w:cs="Times New Roman"/>
          <w:bCs/>
          <w:sz w:val="24"/>
          <w:szCs w:val="24"/>
        </w:rPr>
        <w:t xml:space="preserve"> επιχειρήσεις.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792"/>
        <w:gridCol w:w="2581"/>
        <w:gridCol w:w="2439"/>
        <w:gridCol w:w="2560"/>
      </w:tblGrid>
      <w:tr w:rsidR="00F37328" w:rsidRPr="00E36734" w14:paraId="0CF5E203" w14:textId="77777777" w:rsidTr="00F37328">
        <w:trPr>
          <w:trHeight w:val="458"/>
        </w:trPr>
        <w:tc>
          <w:tcPr>
            <w:tcW w:w="1346" w:type="pct"/>
            <w:vMerge w:val="restart"/>
            <w:shd w:val="clear" w:color="auto" w:fill="FDEADA"/>
            <w:tcMar>
              <w:top w:w="12" w:type="dxa"/>
              <w:left w:w="12" w:type="dxa"/>
              <w:bottom w:w="0" w:type="dxa"/>
              <w:right w:w="12" w:type="dxa"/>
            </w:tcMar>
            <w:vAlign w:val="bottom"/>
            <w:hideMark/>
          </w:tcPr>
          <w:p w14:paraId="4920AE3B" w14:textId="77777777" w:rsidR="00E47175" w:rsidRPr="00E36734" w:rsidRDefault="00E47175" w:rsidP="00E47175">
            <w:pPr>
              <w:spacing w:after="0" w:line="360" w:lineRule="auto"/>
              <w:jc w:val="center"/>
              <w:rPr>
                <w:rFonts w:ascii="Arial" w:eastAsia="Times New Roman" w:hAnsi="Arial" w:cs="Arial"/>
                <w:b/>
                <w:bCs/>
                <w:sz w:val="18"/>
                <w:szCs w:val="18"/>
                <w:lang w:eastAsia="el-GR"/>
              </w:rPr>
            </w:pPr>
            <w:r w:rsidRPr="00E36734">
              <w:rPr>
                <w:rFonts w:ascii="Arial" w:eastAsia="Times New Roman" w:hAnsi="Arial" w:cs="Arial"/>
                <w:b/>
                <w:bCs/>
                <w:sz w:val="18"/>
                <w:szCs w:val="18"/>
                <w:lang w:eastAsia="el-GR"/>
              </w:rPr>
              <w:t>Πίνακας 1</w:t>
            </w:r>
          </w:p>
          <w:p w14:paraId="4E048FAD" w14:textId="19861D59" w:rsidR="00F37328" w:rsidRPr="00E36734" w:rsidRDefault="00004C66" w:rsidP="00004C66">
            <w:pPr>
              <w:spacing w:after="0" w:line="360" w:lineRule="auto"/>
              <w:jc w:val="both"/>
              <w:rPr>
                <w:rFonts w:ascii="Arial" w:eastAsia="Times New Roman" w:hAnsi="Arial" w:cs="Arial"/>
                <w:sz w:val="18"/>
                <w:szCs w:val="18"/>
                <w:lang w:eastAsia="el-GR"/>
              </w:rPr>
            </w:pPr>
            <w:r w:rsidRPr="00E36734">
              <w:rPr>
                <w:rFonts w:ascii="Arial" w:eastAsia="Times New Roman" w:hAnsi="Arial" w:cs="Arial"/>
                <w:sz w:val="18"/>
                <w:szCs w:val="18"/>
                <w:lang w:eastAsia="el-GR"/>
              </w:rPr>
              <w:t>Θεωρείτε ότι η οικονομική κατάσταση της επιχείρησής σας κατά το τελευταίο εξάμηνο :</w:t>
            </w:r>
          </w:p>
        </w:tc>
        <w:tc>
          <w:tcPr>
            <w:tcW w:w="3654" w:type="pct"/>
            <w:gridSpan w:val="3"/>
            <w:shd w:val="clear" w:color="auto" w:fill="FDEADA"/>
            <w:tcMar>
              <w:top w:w="12" w:type="dxa"/>
              <w:left w:w="12" w:type="dxa"/>
              <w:bottom w:w="0" w:type="dxa"/>
              <w:right w:w="12" w:type="dxa"/>
            </w:tcMar>
            <w:vAlign w:val="center"/>
            <w:hideMark/>
          </w:tcPr>
          <w:p w14:paraId="2008CEE5" w14:textId="77777777" w:rsidR="004743E2" w:rsidRPr="00E36734" w:rsidRDefault="00F37328" w:rsidP="004743E2">
            <w:pPr>
              <w:spacing w:after="0" w:line="240" w:lineRule="auto"/>
              <w:jc w:val="center"/>
              <w:textAlignment w:val="center"/>
              <w:rPr>
                <w:rFonts w:ascii="Arial" w:eastAsia="Times New Roman" w:hAnsi="Arial" w:cs="Arial"/>
                <w:sz w:val="16"/>
                <w:szCs w:val="16"/>
                <w:lang w:eastAsia="el-GR"/>
              </w:rPr>
            </w:pPr>
            <w:r w:rsidRPr="00E36734">
              <w:rPr>
                <w:rFonts w:ascii="Microsoft JhengHei UI" w:eastAsia="Microsoft JhengHei UI" w:hAnsi="Microsoft JhengHei UI" w:cs="Arial" w:hint="eastAsia"/>
                <w:color w:val="000000"/>
                <w:kern w:val="24"/>
                <w:sz w:val="16"/>
                <w:szCs w:val="16"/>
                <w:lang w:eastAsia="el-GR"/>
              </w:rPr>
              <w:t>Επιχειρήσεις που το τελευταίο εξάμηνο...</w:t>
            </w:r>
          </w:p>
        </w:tc>
      </w:tr>
      <w:tr w:rsidR="00F37328" w:rsidRPr="00E36734" w14:paraId="2BEC9625" w14:textId="77777777" w:rsidTr="00F37328">
        <w:trPr>
          <w:trHeight w:val="872"/>
        </w:trPr>
        <w:tc>
          <w:tcPr>
            <w:tcW w:w="1346" w:type="pct"/>
            <w:vMerge/>
            <w:shd w:val="clear" w:color="auto" w:fill="FDEADA"/>
            <w:tcMar>
              <w:top w:w="12" w:type="dxa"/>
              <w:left w:w="12" w:type="dxa"/>
              <w:bottom w:w="0" w:type="dxa"/>
              <w:right w:w="12" w:type="dxa"/>
            </w:tcMar>
            <w:vAlign w:val="bottom"/>
            <w:hideMark/>
          </w:tcPr>
          <w:p w14:paraId="4FEC571E" w14:textId="77777777" w:rsidR="00F37328" w:rsidRPr="00E36734" w:rsidRDefault="00F37328" w:rsidP="004743E2">
            <w:pPr>
              <w:spacing w:after="0" w:line="240" w:lineRule="auto"/>
              <w:rPr>
                <w:rFonts w:ascii="Arial" w:eastAsia="Times New Roman" w:hAnsi="Arial" w:cs="Arial"/>
                <w:sz w:val="16"/>
                <w:szCs w:val="16"/>
                <w:lang w:eastAsia="el-GR"/>
              </w:rPr>
            </w:pPr>
          </w:p>
        </w:tc>
        <w:tc>
          <w:tcPr>
            <w:tcW w:w="1244" w:type="pct"/>
            <w:shd w:val="clear" w:color="auto" w:fill="FDEADA"/>
            <w:tcMar>
              <w:top w:w="12" w:type="dxa"/>
              <w:left w:w="12" w:type="dxa"/>
              <w:bottom w:w="0" w:type="dxa"/>
              <w:right w:w="12" w:type="dxa"/>
            </w:tcMar>
            <w:vAlign w:val="center"/>
            <w:hideMark/>
          </w:tcPr>
          <w:p w14:paraId="051512F5" w14:textId="77777777" w:rsidR="00F37328" w:rsidRPr="00E36734" w:rsidRDefault="00F37328" w:rsidP="004743E2">
            <w:pPr>
              <w:spacing w:after="0" w:line="240" w:lineRule="auto"/>
              <w:jc w:val="center"/>
              <w:textAlignment w:val="center"/>
              <w:rPr>
                <w:rFonts w:ascii="Microsoft JhengHei UI" w:eastAsia="Microsoft JhengHei UI" w:hAnsi="Microsoft JhengHei UI" w:cs="Arial"/>
                <w:color w:val="000000"/>
                <w:kern w:val="24"/>
                <w:sz w:val="16"/>
                <w:szCs w:val="16"/>
                <w:lang w:eastAsia="el-GR"/>
              </w:rPr>
            </w:pPr>
            <w:r w:rsidRPr="00E36734">
              <w:rPr>
                <w:rFonts w:ascii="Microsoft JhengHei UI" w:eastAsia="Microsoft JhengHei UI" w:hAnsi="Microsoft JhengHei UI" w:cs="Arial" w:hint="eastAsia"/>
                <w:color w:val="000000"/>
                <w:kern w:val="24"/>
                <w:sz w:val="16"/>
                <w:szCs w:val="16"/>
                <w:lang w:eastAsia="el-GR"/>
              </w:rPr>
              <w:t xml:space="preserve">ανέστειλαν την δραστηριότητα </w:t>
            </w:r>
          </w:p>
          <w:p w14:paraId="38D7056C" w14:textId="1484FB3A" w:rsidR="004743E2" w:rsidRPr="00E36734" w:rsidRDefault="00F37328" w:rsidP="004743E2">
            <w:pPr>
              <w:spacing w:after="0" w:line="240" w:lineRule="auto"/>
              <w:jc w:val="center"/>
              <w:textAlignment w:val="center"/>
              <w:rPr>
                <w:rFonts w:ascii="Arial" w:eastAsia="Times New Roman" w:hAnsi="Arial" w:cs="Arial"/>
                <w:sz w:val="16"/>
                <w:szCs w:val="16"/>
                <w:lang w:eastAsia="el-GR"/>
              </w:rPr>
            </w:pPr>
            <w:r w:rsidRPr="00E36734">
              <w:rPr>
                <w:rFonts w:ascii="Microsoft JhengHei UI" w:eastAsia="Microsoft JhengHei UI" w:hAnsi="Microsoft JhengHei UI" w:cs="Arial"/>
                <w:color w:val="000000"/>
                <w:kern w:val="24"/>
                <w:sz w:val="16"/>
                <w:szCs w:val="16"/>
                <w:lang w:eastAsia="el-GR"/>
              </w:rPr>
              <w:t>τ</w:t>
            </w:r>
            <w:r w:rsidRPr="00E36734">
              <w:rPr>
                <w:rFonts w:ascii="Microsoft JhengHei UI" w:eastAsia="Microsoft JhengHei UI" w:hAnsi="Microsoft JhengHei UI" w:cs="Arial" w:hint="eastAsia"/>
                <w:color w:val="000000"/>
                <w:kern w:val="24"/>
                <w:sz w:val="16"/>
                <w:szCs w:val="16"/>
                <w:lang w:eastAsia="el-GR"/>
              </w:rPr>
              <w:t>ους με κρατική εντολή</w:t>
            </w:r>
          </w:p>
        </w:tc>
        <w:tc>
          <w:tcPr>
            <w:tcW w:w="1176" w:type="pct"/>
            <w:shd w:val="clear" w:color="auto" w:fill="FDEADA"/>
            <w:tcMar>
              <w:top w:w="12" w:type="dxa"/>
              <w:left w:w="12" w:type="dxa"/>
              <w:bottom w:w="0" w:type="dxa"/>
              <w:right w:w="12" w:type="dxa"/>
            </w:tcMar>
            <w:vAlign w:val="center"/>
            <w:hideMark/>
          </w:tcPr>
          <w:p w14:paraId="2BF7CCD0" w14:textId="77777777" w:rsidR="004743E2" w:rsidRPr="00E36734" w:rsidRDefault="00F37328" w:rsidP="004743E2">
            <w:pPr>
              <w:spacing w:after="0" w:line="240" w:lineRule="auto"/>
              <w:jc w:val="center"/>
              <w:textAlignment w:val="center"/>
              <w:rPr>
                <w:rFonts w:ascii="Arial" w:eastAsia="Times New Roman" w:hAnsi="Arial" w:cs="Arial"/>
                <w:sz w:val="16"/>
                <w:szCs w:val="16"/>
                <w:lang w:eastAsia="el-GR"/>
              </w:rPr>
            </w:pPr>
            <w:r w:rsidRPr="00E36734">
              <w:rPr>
                <w:rFonts w:ascii="Microsoft JhengHei UI" w:eastAsia="Microsoft JhengHei UI" w:hAnsi="Microsoft JhengHei UI" w:cs="Arial" w:hint="eastAsia"/>
                <w:color w:val="000000"/>
                <w:kern w:val="24"/>
                <w:sz w:val="16"/>
                <w:szCs w:val="16"/>
                <w:lang w:eastAsia="el-GR"/>
              </w:rPr>
              <w:t>ανήκαν στις πληττόμενες βάσει ΚΑΔ επιχειρήσεις</w:t>
            </w:r>
          </w:p>
        </w:tc>
        <w:tc>
          <w:tcPr>
            <w:tcW w:w="1234" w:type="pct"/>
            <w:shd w:val="clear" w:color="auto" w:fill="FDEADA"/>
            <w:tcMar>
              <w:top w:w="12" w:type="dxa"/>
              <w:left w:w="12" w:type="dxa"/>
              <w:bottom w:w="0" w:type="dxa"/>
              <w:right w:w="12" w:type="dxa"/>
            </w:tcMar>
            <w:vAlign w:val="center"/>
            <w:hideMark/>
          </w:tcPr>
          <w:p w14:paraId="4CA6AFB7" w14:textId="77777777" w:rsidR="00F37328" w:rsidRPr="00E36734" w:rsidRDefault="00F37328" w:rsidP="004743E2">
            <w:pPr>
              <w:spacing w:after="0" w:line="240" w:lineRule="auto"/>
              <w:jc w:val="center"/>
              <w:textAlignment w:val="center"/>
              <w:rPr>
                <w:rFonts w:ascii="Microsoft JhengHei UI" w:eastAsia="Microsoft JhengHei UI" w:hAnsi="Microsoft JhengHei UI" w:cs="Arial"/>
                <w:color w:val="000000"/>
                <w:kern w:val="24"/>
                <w:sz w:val="16"/>
                <w:szCs w:val="16"/>
                <w:lang w:eastAsia="el-GR"/>
              </w:rPr>
            </w:pPr>
            <w:r w:rsidRPr="00E36734">
              <w:rPr>
                <w:rFonts w:ascii="Microsoft JhengHei UI" w:eastAsia="Microsoft JhengHei UI" w:hAnsi="Microsoft JhengHei UI" w:cs="Arial" w:hint="eastAsia"/>
                <w:color w:val="000000"/>
                <w:kern w:val="24"/>
                <w:sz w:val="16"/>
                <w:szCs w:val="16"/>
                <w:lang w:eastAsia="el-GR"/>
              </w:rPr>
              <w:t xml:space="preserve">Δεν ανήκαν σε καμία από τις </w:t>
            </w:r>
          </w:p>
          <w:p w14:paraId="5C791377" w14:textId="31AFD4EB" w:rsidR="004743E2" w:rsidRPr="00E36734" w:rsidRDefault="00F37328" w:rsidP="004743E2">
            <w:pPr>
              <w:spacing w:after="0" w:line="240" w:lineRule="auto"/>
              <w:jc w:val="center"/>
              <w:textAlignment w:val="center"/>
              <w:rPr>
                <w:rFonts w:ascii="Arial" w:eastAsia="Times New Roman" w:hAnsi="Arial" w:cs="Arial"/>
                <w:sz w:val="16"/>
                <w:szCs w:val="16"/>
                <w:lang w:eastAsia="el-GR"/>
              </w:rPr>
            </w:pPr>
            <w:r w:rsidRPr="00E36734">
              <w:rPr>
                <w:rFonts w:ascii="Microsoft JhengHei UI" w:eastAsia="Microsoft JhengHei UI" w:hAnsi="Microsoft JhengHei UI" w:cs="Arial" w:hint="eastAsia"/>
                <w:color w:val="000000"/>
                <w:kern w:val="24"/>
                <w:sz w:val="16"/>
                <w:szCs w:val="16"/>
                <w:lang w:eastAsia="el-GR"/>
              </w:rPr>
              <w:t>παραπάνω κατηγορίες</w:t>
            </w:r>
          </w:p>
        </w:tc>
      </w:tr>
      <w:tr w:rsidR="004743E2" w:rsidRPr="00E36734" w14:paraId="203A5E94" w14:textId="77777777" w:rsidTr="00F37328">
        <w:trPr>
          <w:trHeight w:val="458"/>
        </w:trPr>
        <w:tc>
          <w:tcPr>
            <w:tcW w:w="1346" w:type="pct"/>
            <w:shd w:val="clear" w:color="auto" w:fill="auto"/>
            <w:tcMar>
              <w:top w:w="12" w:type="dxa"/>
              <w:left w:w="12" w:type="dxa"/>
              <w:bottom w:w="0" w:type="dxa"/>
              <w:right w:w="12" w:type="dxa"/>
            </w:tcMar>
            <w:vAlign w:val="center"/>
            <w:hideMark/>
          </w:tcPr>
          <w:p w14:paraId="2E48E215" w14:textId="77777777" w:rsidR="004743E2" w:rsidRPr="00E36734" w:rsidRDefault="004743E2" w:rsidP="004743E2">
            <w:pPr>
              <w:spacing w:after="0" w:line="240" w:lineRule="auto"/>
              <w:textAlignment w:val="bottom"/>
              <w:rPr>
                <w:rFonts w:ascii="Arial" w:eastAsia="Times New Roman" w:hAnsi="Arial" w:cs="Arial"/>
                <w:sz w:val="16"/>
                <w:szCs w:val="16"/>
                <w:lang w:eastAsia="el-GR"/>
              </w:rPr>
            </w:pPr>
            <w:r w:rsidRPr="00E36734">
              <w:rPr>
                <w:rFonts w:ascii="Microsoft JhengHei UI" w:eastAsia="Microsoft JhengHei UI" w:hAnsi="Microsoft JhengHei UI" w:cs="Arial" w:hint="eastAsia"/>
                <w:color w:val="000000"/>
                <w:kern w:val="24"/>
                <w:sz w:val="16"/>
                <w:szCs w:val="16"/>
                <w:lang w:eastAsia="el-GR"/>
              </w:rPr>
              <w:t>Βελτιώθηκε</w:t>
            </w:r>
          </w:p>
        </w:tc>
        <w:tc>
          <w:tcPr>
            <w:tcW w:w="1244" w:type="pct"/>
            <w:shd w:val="clear" w:color="auto" w:fill="auto"/>
            <w:tcMar>
              <w:top w:w="12" w:type="dxa"/>
              <w:left w:w="12" w:type="dxa"/>
              <w:bottom w:w="0" w:type="dxa"/>
              <w:right w:w="12" w:type="dxa"/>
            </w:tcMar>
            <w:vAlign w:val="center"/>
            <w:hideMark/>
          </w:tcPr>
          <w:p w14:paraId="3D1614E6" w14:textId="77777777" w:rsidR="004743E2" w:rsidRPr="00E36734" w:rsidRDefault="004743E2" w:rsidP="004743E2">
            <w:pPr>
              <w:spacing w:after="0" w:line="240" w:lineRule="auto"/>
              <w:jc w:val="center"/>
              <w:textAlignment w:val="center"/>
              <w:rPr>
                <w:rFonts w:ascii="Arial" w:eastAsia="Times New Roman" w:hAnsi="Arial" w:cs="Arial"/>
                <w:sz w:val="16"/>
                <w:szCs w:val="16"/>
                <w:lang w:eastAsia="el-GR"/>
              </w:rPr>
            </w:pPr>
            <w:r w:rsidRPr="00E36734">
              <w:rPr>
                <w:rFonts w:ascii="Microsoft JhengHei UI" w:eastAsia="Microsoft JhengHei UI" w:hAnsi="Microsoft JhengHei UI" w:cs="Arial" w:hint="eastAsia"/>
                <w:color w:val="000000"/>
                <w:kern w:val="24"/>
                <w:sz w:val="16"/>
                <w:szCs w:val="16"/>
                <w:lang w:val="en-US" w:eastAsia="el-GR"/>
              </w:rPr>
              <w:t>2.1</w:t>
            </w:r>
          </w:p>
        </w:tc>
        <w:tc>
          <w:tcPr>
            <w:tcW w:w="1176" w:type="pct"/>
            <w:shd w:val="clear" w:color="auto" w:fill="auto"/>
            <w:tcMar>
              <w:top w:w="12" w:type="dxa"/>
              <w:left w:w="12" w:type="dxa"/>
              <w:bottom w:w="0" w:type="dxa"/>
              <w:right w:w="12" w:type="dxa"/>
            </w:tcMar>
            <w:vAlign w:val="center"/>
            <w:hideMark/>
          </w:tcPr>
          <w:p w14:paraId="132C8A28" w14:textId="77777777" w:rsidR="004743E2" w:rsidRPr="00E36734" w:rsidRDefault="004743E2" w:rsidP="004743E2">
            <w:pPr>
              <w:spacing w:after="0" w:line="240" w:lineRule="auto"/>
              <w:jc w:val="center"/>
              <w:textAlignment w:val="center"/>
              <w:rPr>
                <w:rFonts w:ascii="Arial" w:eastAsia="Times New Roman" w:hAnsi="Arial" w:cs="Arial"/>
                <w:sz w:val="16"/>
                <w:szCs w:val="16"/>
                <w:lang w:eastAsia="el-GR"/>
              </w:rPr>
            </w:pPr>
            <w:r w:rsidRPr="00E36734">
              <w:rPr>
                <w:rFonts w:ascii="Microsoft JhengHei UI" w:eastAsia="Microsoft JhengHei UI" w:hAnsi="Microsoft JhengHei UI" w:cs="Arial" w:hint="eastAsia"/>
                <w:color w:val="000000"/>
                <w:kern w:val="24"/>
                <w:sz w:val="16"/>
                <w:szCs w:val="16"/>
                <w:lang w:val="en-US" w:eastAsia="el-GR"/>
              </w:rPr>
              <w:t>2.8</w:t>
            </w:r>
          </w:p>
        </w:tc>
        <w:tc>
          <w:tcPr>
            <w:tcW w:w="1234" w:type="pct"/>
            <w:shd w:val="clear" w:color="auto" w:fill="auto"/>
            <w:tcMar>
              <w:top w:w="12" w:type="dxa"/>
              <w:left w:w="12" w:type="dxa"/>
              <w:bottom w:w="0" w:type="dxa"/>
              <w:right w:w="12" w:type="dxa"/>
            </w:tcMar>
            <w:vAlign w:val="center"/>
            <w:hideMark/>
          </w:tcPr>
          <w:p w14:paraId="2EBCE8C3" w14:textId="77777777" w:rsidR="004743E2" w:rsidRPr="00E36734" w:rsidRDefault="004743E2" w:rsidP="004743E2">
            <w:pPr>
              <w:spacing w:after="0" w:line="240" w:lineRule="auto"/>
              <w:jc w:val="center"/>
              <w:textAlignment w:val="center"/>
              <w:rPr>
                <w:rFonts w:ascii="Arial" w:eastAsia="Times New Roman" w:hAnsi="Arial" w:cs="Arial"/>
                <w:sz w:val="16"/>
                <w:szCs w:val="16"/>
                <w:lang w:eastAsia="el-GR"/>
              </w:rPr>
            </w:pPr>
            <w:r w:rsidRPr="00E36734">
              <w:rPr>
                <w:rFonts w:ascii="Microsoft JhengHei UI" w:eastAsia="Microsoft JhengHei UI" w:hAnsi="Microsoft JhengHei UI" w:cs="Arial" w:hint="eastAsia"/>
                <w:color w:val="000000"/>
                <w:kern w:val="24"/>
                <w:sz w:val="16"/>
                <w:szCs w:val="16"/>
                <w:lang w:val="en-US" w:eastAsia="el-GR"/>
              </w:rPr>
              <w:t>9.8</w:t>
            </w:r>
          </w:p>
        </w:tc>
      </w:tr>
      <w:tr w:rsidR="004743E2" w:rsidRPr="00E36734" w14:paraId="0149B11F" w14:textId="77777777" w:rsidTr="00F37328">
        <w:trPr>
          <w:trHeight w:val="458"/>
        </w:trPr>
        <w:tc>
          <w:tcPr>
            <w:tcW w:w="1346" w:type="pct"/>
            <w:shd w:val="clear" w:color="auto" w:fill="auto"/>
            <w:tcMar>
              <w:top w:w="12" w:type="dxa"/>
              <w:left w:w="12" w:type="dxa"/>
              <w:bottom w:w="0" w:type="dxa"/>
              <w:right w:w="12" w:type="dxa"/>
            </w:tcMar>
            <w:vAlign w:val="center"/>
            <w:hideMark/>
          </w:tcPr>
          <w:p w14:paraId="7A4B1028" w14:textId="77777777" w:rsidR="004743E2" w:rsidRPr="00E36734" w:rsidRDefault="004743E2" w:rsidP="004743E2">
            <w:pPr>
              <w:spacing w:after="0" w:line="240" w:lineRule="auto"/>
              <w:textAlignment w:val="bottom"/>
              <w:rPr>
                <w:rFonts w:ascii="Arial" w:eastAsia="Times New Roman" w:hAnsi="Arial" w:cs="Arial"/>
                <w:sz w:val="16"/>
                <w:szCs w:val="16"/>
                <w:lang w:eastAsia="el-GR"/>
              </w:rPr>
            </w:pPr>
            <w:r w:rsidRPr="00E36734">
              <w:rPr>
                <w:rFonts w:ascii="Microsoft JhengHei UI" w:eastAsia="Microsoft JhengHei UI" w:hAnsi="Microsoft JhengHei UI" w:cs="Arial" w:hint="eastAsia"/>
                <w:color w:val="000000"/>
                <w:kern w:val="24"/>
                <w:sz w:val="16"/>
                <w:szCs w:val="16"/>
                <w:lang w:eastAsia="el-GR"/>
              </w:rPr>
              <w:t>Επιδεινώθηκε</w:t>
            </w:r>
          </w:p>
        </w:tc>
        <w:tc>
          <w:tcPr>
            <w:tcW w:w="1244" w:type="pct"/>
            <w:shd w:val="clear" w:color="auto" w:fill="auto"/>
            <w:tcMar>
              <w:top w:w="12" w:type="dxa"/>
              <w:left w:w="12" w:type="dxa"/>
              <w:bottom w:w="0" w:type="dxa"/>
              <w:right w:w="12" w:type="dxa"/>
            </w:tcMar>
            <w:vAlign w:val="center"/>
            <w:hideMark/>
          </w:tcPr>
          <w:p w14:paraId="2CB7B7CF" w14:textId="77777777" w:rsidR="004743E2" w:rsidRPr="00E36734" w:rsidRDefault="004743E2" w:rsidP="004743E2">
            <w:pPr>
              <w:spacing w:after="0" w:line="240" w:lineRule="auto"/>
              <w:jc w:val="center"/>
              <w:textAlignment w:val="center"/>
              <w:rPr>
                <w:rFonts w:ascii="Arial" w:eastAsia="Times New Roman" w:hAnsi="Arial" w:cs="Arial"/>
                <w:sz w:val="16"/>
                <w:szCs w:val="16"/>
                <w:lang w:eastAsia="el-GR"/>
              </w:rPr>
            </w:pPr>
            <w:r w:rsidRPr="00E36734">
              <w:rPr>
                <w:rFonts w:ascii="Microsoft JhengHei UI" w:eastAsia="Microsoft JhengHei UI" w:hAnsi="Microsoft JhengHei UI" w:cs="Arial" w:hint="eastAsia"/>
                <w:color w:val="000000"/>
                <w:kern w:val="24"/>
                <w:sz w:val="16"/>
                <w:szCs w:val="16"/>
                <w:lang w:val="en-US" w:eastAsia="el-GR"/>
              </w:rPr>
              <w:t>91.6</w:t>
            </w:r>
          </w:p>
        </w:tc>
        <w:tc>
          <w:tcPr>
            <w:tcW w:w="1176" w:type="pct"/>
            <w:shd w:val="clear" w:color="auto" w:fill="auto"/>
            <w:tcMar>
              <w:top w:w="12" w:type="dxa"/>
              <w:left w:w="12" w:type="dxa"/>
              <w:bottom w:w="0" w:type="dxa"/>
              <w:right w:w="12" w:type="dxa"/>
            </w:tcMar>
            <w:vAlign w:val="center"/>
            <w:hideMark/>
          </w:tcPr>
          <w:p w14:paraId="1F133B9F" w14:textId="77777777" w:rsidR="004743E2" w:rsidRPr="00E36734" w:rsidRDefault="004743E2" w:rsidP="004743E2">
            <w:pPr>
              <w:spacing w:after="0" w:line="240" w:lineRule="auto"/>
              <w:jc w:val="center"/>
              <w:textAlignment w:val="center"/>
              <w:rPr>
                <w:rFonts w:ascii="Arial" w:eastAsia="Times New Roman" w:hAnsi="Arial" w:cs="Arial"/>
                <w:sz w:val="16"/>
                <w:szCs w:val="16"/>
                <w:lang w:eastAsia="el-GR"/>
              </w:rPr>
            </w:pPr>
            <w:r w:rsidRPr="00E36734">
              <w:rPr>
                <w:rFonts w:ascii="Microsoft JhengHei UI" w:eastAsia="Microsoft JhengHei UI" w:hAnsi="Microsoft JhengHei UI" w:cs="Arial" w:hint="eastAsia"/>
                <w:color w:val="000000"/>
                <w:kern w:val="24"/>
                <w:sz w:val="16"/>
                <w:szCs w:val="16"/>
                <w:lang w:val="en-US" w:eastAsia="el-GR"/>
              </w:rPr>
              <w:t>83.2</w:t>
            </w:r>
          </w:p>
        </w:tc>
        <w:tc>
          <w:tcPr>
            <w:tcW w:w="1234" w:type="pct"/>
            <w:shd w:val="clear" w:color="auto" w:fill="auto"/>
            <w:tcMar>
              <w:top w:w="12" w:type="dxa"/>
              <w:left w:w="12" w:type="dxa"/>
              <w:bottom w:w="0" w:type="dxa"/>
              <w:right w:w="12" w:type="dxa"/>
            </w:tcMar>
            <w:vAlign w:val="center"/>
            <w:hideMark/>
          </w:tcPr>
          <w:p w14:paraId="3FE2F7D0" w14:textId="77777777" w:rsidR="004743E2" w:rsidRPr="00E36734" w:rsidRDefault="004743E2" w:rsidP="004743E2">
            <w:pPr>
              <w:spacing w:after="0" w:line="240" w:lineRule="auto"/>
              <w:jc w:val="center"/>
              <w:textAlignment w:val="center"/>
              <w:rPr>
                <w:rFonts w:ascii="Arial" w:eastAsia="Times New Roman" w:hAnsi="Arial" w:cs="Arial"/>
                <w:sz w:val="16"/>
                <w:szCs w:val="16"/>
                <w:lang w:eastAsia="el-GR"/>
              </w:rPr>
            </w:pPr>
            <w:r w:rsidRPr="00E36734">
              <w:rPr>
                <w:rFonts w:ascii="Microsoft JhengHei UI" w:eastAsia="Microsoft JhengHei UI" w:hAnsi="Microsoft JhengHei UI" w:cs="Arial" w:hint="eastAsia"/>
                <w:color w:val="000000"/>
                <w:kern w:val="24"/>
                <w:sz w:val="16"/>
                <w:szCs w:val="16"/>
                <w:lang w:val="en-US" w:eastAsia="el-GR"/>
              </w:rPr>
              <w:t>59</w:t>
            </w:r>
          </w:p>
        </w:tc>
      </w:tr>
      <w:tr w:rsidR="004743E2" w:rsidRPr="00E36734" w14:paraId="0F37FD6F" w14:textId="77777777" w:rsidTr="00F37328">
        <w:trPr>
          <w:trHeight w:val="458"/>
        </w:trPr>
        <w:tc>
          <w:tcPr>
            <w:tcW w:w="1346" w:type="pct"/>
            <w:shd w:val="clear" w:color="auto" w:fill="auto"/>
            <w:tcMar>
              <w:top w:w="12" w:type="dxa"/>
              <w:left w:w="12" w:type="dxa"/>
              <w:bottom w:w="0" w:type="dxa"/>
              <w:right w:w="12" w:type="dxa"/>
            </w:tcMar>
            <w:vAlign w:val="center"/>
            <w:hideMark/>
          </w:tcPr>
          <w:p w14:paraId="031C9B7A" w14:textId="77777777" w:rsidR="004743E2" w:rsidRPr="00E36734" w:rsidRDefault="004743E2" w:rsidP="004743E2">
            <w:pPr>
              <w:spacing w:after="0" w:line="240" w:lineRule="auto"/>
              <w:textAlignment w:val="bottom"/>
              <w:rPr>
                <w:rFonts w:ascii="Arial" w:eastAsia="Times New Roman" w:hAnsi="Arial" w:cs="Arial"/>
                <w:sz w:val="16"/>
                <w:szCs w:val="16"/>
                <w:lang w:eastAsia="el-GR"/>
              </w:rPr>
            </w:pPr>
            <w:r w:rsidRPr="00E36734">
              <w:rPr>
                <w:rFonts w:ascii="Microsoft JhengHei UI" w:eastAsia="Microsoft JhengHei UI" w:hAnsi="Microsoft JhengHei UI" w:cs="Arial" w:hint="eastAsia"/>
                <w:color w:val="000000"/>
                <w:kern w:val="24"/>
                <w:sz w:val="16"/>
                <w:szCs w:val="16"/>
                <w:lang w:eastAsia="el-GR"/>
              </w:rPr>
              <w:t>Παρέμεινε αμετάβλητη</w:t>
            </w:r>
          </w:p>
        </w:tc>
        <w:tc>
          <w:tcPr>
            <w:tcW w:w="1244" w:type="pct"/>
            <w:shd w:val="clear" w:color="auto" w:fill="auto"/>
            <w:tcMar>
              <w:top w:w="12" w:type="dxa"/>
              <w:left w:w="12" w:type="dxa"/>
              <w:bottom w:w="0" w:type="dxa"/>
              <w:right w:w="12" w:type="dxa"/>
            </w:tcMar>
            <w:vAlign w:val="center"/>
            <w:hideMark/>
          </w:tcPr>
          <w:p w14:paraId="7B85470C" w14:textId="77777777" w:rsidR="004743E2" w:rsidRPr="00E36734" w:rsidRDefault="004743E2" w:rsidP="004743E2">
            <w:pPr>
              <w:spacing w:after="0" w:line="240" w:lineRule="auto"/>
              <w:jc w:val="center"/>
              <w:textAlignment w:val="center"/>
              <w:rPr>
                <w:rFonts w:ascii="Arial" w:eastAsia="Times New Roman" w:hAnsi="Arial" w:cs="Arial"/>
                <w:sz w:val="16"/>
                <w:szCs w:val="16"/>
                <w:lang w:eastAsia="el-GR"/>
              </w:rPr>
            </w:pPr>
            <w:r w:rsidRPr="00E36734">
              <w:rPr>
                <w:rFonts w:ascii="Microsoft JhengHei UI" w:eastAsia="Microsoft JhengHei UI" w:hAnsi="Microsoft JhengHei UI" w:cs="Arial" w:hint="eastAsia"/>
                <w:color w:val="000000"/>
                <w:kern w:val="24"/>
                <w:sz w:val="16"/>
                <w:szCs w:val="16"/>
                <w:lang w:val="en-US" w:eastAsia="el-GR"/>
              </w:rPr>
              <w:t>6.3</w:t>
            </w:r>
          </w:p>
        </w:tc>
        <w:tc>
          <w:tcPr>
            <w:tcW w:w="1176" w:type="pct"/>
            <w:shd w:val="clear" w:color="auto" w:fill="auto"/>
            <w:tcMar>
              <w:top w:w="12" w:type="dxa"/>
              <w:left w:w="12" w:type="dxa"/>
              <w:bottom w:w="0" w:type="dxa"/>
              <w:right w:w="12" w:type="dxa"/>
            </w:tcMar>
            <w:vAlign w:val="center"/>
            <w:hideMark/>
          </w:tcPr>
          <w:p w14:paraId="430397BF" w14:textId="77777777" w:rsidR="004743E2" w:rsidRPr="00E36734" w:rsidRDefault="004743E2" w:rsidP="004743E2">
            <w:pPr>
              <w:spacing w:after="0" w:line="240" w:lineRule="auto"/>
              <w:jc w:val="center"/>
              <w:textAlignment w:val="center"/>
              <w:rPr>
                <w:rFonts w:ascii="Arial" w:eastAsia="Times New Roman" w:hAnsi="Arial" w:cs="Arial"/>
                <w:sz w:val="16"/>
                <w:szCs w:val="16"/>
                <w:lang w:eastAsia="el-GR"/>
              </w:rPr>
            </w:pPr>
            <w:r w:rsidRPr="00E36734">
              <w:rPr>
                <w:rFonts w:ascii="Microsoft JhengHei UI" w:eastAsia="Microsoft JhengHei UI" w:hAnsi="Microsoft JhengHei UI" w:cs="Arial" w:hint="eastAsia"/>
                <w:color w:val="000000"/>
                <w:kern w:val="24"/>
                <w:sz w:val="16"/>
                <w:szCs w:val="16"/>
                <w:lang w:val="en-US" w:eastAsia="el-GR"/>
              </w:rPr>
              <w:t>13.7</w:t>
            </w:r>
          </w:p>
        </w:tc>
        <w:tc>
          <w:tcPr>
            <w:tcW w:w="1234" w:type="pct"/>
            <w:shd w:val="clear" w:color="auto" w:fill="auto"/>
            <w:tcMar>
              <w:top w:w="12" w:type="dxa"/>
              <w:left w:w="12" w:type="dxa"/>
              <w:bottom w:w="0" w:type="dxa"/>
              <w:right w:w="12" w:type="dxa"/>
            </w:tcMar>
            <w:vAlign w:val="center"/>
            <w:hideMark/>
          </w:tcPr>
          <w:p w14:paraId="7BE1599E" w14:textId="77777777" w:rsidR="004743E2" w:rsidRPr="00E36734" w:rsidRDefault="004743E2" w:rsidP="004743E2">
            <w:pPr>
              <w:spacing w:after="0" w:line="240" w:lineRule="auto"/>
              <w:jc w:val="center"/>
              <w:textAlignment w:val="center"/>
              <w:rPr>
                <w:rFonts w:ascii="Arial" w:eastAsia="Times New Roman" w:hAnsi="Arial" w:cs="Arial"/>
                <w:sz w:val="16"/>
                <w:szCs w:val="16"/>
                <w:lang w:eastAsia="el-GR"/>
              </w:rPr>
            </w:pPr>
            <w:r w:rsidRPr="00E36734">
              <w:rPr>
                <w:rFonts w:ascii="Microsoft JhengHei UI" w:eastAsia="Microsoft JhengHei UI" w:hAnsi="Microsoft JhengHei UI" w:cs="Arial" w:hint="eastAsia"/>
                <w:color w:val="000000"/>
                <w:kern w:val="24"/>
                <w:sz w:val="16"/>
                <w:szCs w:val="16"/>
                <w:lang w:val="en-US" w:eastAsia="el-GR"/>
              </w:rPr>
              <w:t>31.1</w:t>
            </w:r>
          </w:p>
        </w:tc>
      </w:tr>
      <w:tr w:rsidR="004743E2" w:rsidRPr="00E36734" w14:paraId="713B6D07" w14:textId="77777777" w:rsidTr="00F37328">
        <w:trPr>
          <w:trHeight w:val="458"/>
        </w:trPr>
        <w:tc>
          <w:tcPr>
            <w:tcW w:w="1346" w:type="pct"/>
            <w:shd w:val="clear" w:color="auto" w:fill="auto"/>
            <w:tcMar>
              <w:top w:w="12" w:type="dxa"/>
              <w:left w:w="12" w:type="dxa"/>
              <w:bottom w:w="0" w:type="dxa"/>
              <w:right w:w="12" w:type="dxa"/>
            </w:tcMar>
            <w:vAlign w:val="center"/>
            <w:hideMark/>
          </w:tcPr>
          <w:p w14:paraId="7202488A" w14:textId="77777777" w:rsidR="004743E2" w:rsidRPr="00E36734" w:rsidRDefault="004743E2" w:rsidP="004743E2">
            <w:pPr>
              <w:spacing w:after="0" w:line="240" w:lineRule="auto"/>
              <w:textAlignment w:val="bottom"/>
              <w:rPr>
                <w:rFonts w:ascii="Arial" w:eastAsia="Times New Roman" w:hAnsi="Arial" w:cs="Arial"/>
                <w:sz w:val="16"/>
                <w:szCs w:val="16"/>
                <w:lang w:eastAsia="el-GR"/>
              </w:rPr>
            </w:pPr>
            <w:r w:rsidRPr="00E36734">
              <w:rPr>
                <w:rFonts w:ascii="Microsoft JhengHei UI" w:eastAsia="Microsoft JhengHei UI" w:hAnsi="Microsoft JhengHei UI" w:cs="Arial" w:hint="eastAsia"/>
                <w:color w:val="000000"/>
                <w:kern w:val="24"/>
                <w:sz w:val="16"/>
                <w:szCs w:val="16"/>
                <w:lang w:eastAsia="el-GR"/>
              </w:rPr>
              <w:t>ΔΑ</w:t>
            </w:r>
          </w:p>
        </w:tc>
        <w:tc>
          <w:tcPr>
            <w:tcW w:w="1244" w:type="pct"/>
            <w:shd w:val="clear" w:color="auto" w:fill="auto"/>
            <w:tcMar>
              <w:top w:w="12" w:type="dxa"/>
              <w:left w:w="12" w:type="dxa"/>
              <w:bottom w:w="0" w:type="dxa"/>
              <w:right w:w="12" w:type="dxa"/>
            </w:tcMar>
            <w:vAlign w:val="center"/>
            <w:hideMark/>
          </w:tcPr>
          <w:p w14:paraId="5CA5BF55" w14:textId="77777777" w:rsidR="004743E2" w:rsidRPr="00E36734" w:rsidRDefault="004743E2" w:rsidP="004743E2">
            <w:pPr>
              <w:spacing w:after="0" w:line="240" w:lineRule="auto"/>
              <w:jc w:val="center"/>
              <w:textAlignment w:val="center"/>
              <w:rPr>
                <w:rFonts w:ascii="Arial" w:eastAsia="Times New Roman" w:hAnsi="Arial" w:cs="Arial"/>
                <w:sz w:val="16"/>
                <w:szCs w:val="16"/>
                <w:lang w:eastAsia="el-GR"/>
              </w:rPr>
            </w:pPr>
            <w:r w:rsidRPr="00E36734">
              <w:rPr>
                <w:rFonts w:ascii="Microsoft JhengHei UI" w:eastAsia="Microsoft JhengHei UI" w:hAnsi="Microsoft JhengHei UI" w:cs="Arial" w:hint="eastAsia"/>
                <w:color w:val="000000"/>
                <w:kern w:val="24"/>
                <w:sz w:val="16"/>
                <w:szCs w:val="16"/>
                <w:lang w:val="en-US" w:eastAsia="el-GR"/>
              </w:rPr>
              <w:t>0</w:t>
            </w:r>
          </w:p>
        </w:tc>
        <w:tc>
          <w:tcPr>
            <w:tcW w:w="1176" w:type="pct"/>
            <w:shd w:val="clear" w:color="auto" w:fill="auto"/>
            <w:tcMar>
              <w:top w:w="12" w:type="dxa"/>
              <w:left w:w="12" w:type="dxa"/>
              <w:bottom w:w="0" w:type="dxa"/>
              <w:right w:w="12" w:type="dxa"/>
            </w:tcMar>
            <w:vAlign w:val="center"/>
            <w:hideMark/>
          </w:tcPr>
          <w:p w14:paraId="5DA9FA9E" w14:textId="77777777" w:rsidR="004743E2" w:rsidRPr="00E36734" w:rsidRDefault="004743E2" w:rsidP="004743E2">
            <w:pPr>
              <w:spacing w:after="0" w:line="240" w:lineRule="auto"/>
              <w:jc w:val="center"/>
              <w:textAlignment w:val="center"/>
              <w:rPr>
                <w:rFonts w:ascii="Arial" w:eastAsia="Times New Roman" w:hAnsi="Arial" w:cs="Arial"/>
                <w:sz w:val="16"/>
                <w:szCs w:val="16"/>
                <w:lang w:eastAsia="el-GR"/>
              </w:rPr>
            </w:pPr>
            <w:r w:rsidRPr="00E36734">
              <w:rPr>
                <w:rFonts w:ascii="Microsoft JhengHei UI" w:eastAsia="Microsoft JhengHei UI" w:hAnsi="Microsoft JhengHei UI" w:cs="Arial" w:hint="eastAsia"/>
                <w:color w:val="000000"/>
                <w:kern w:val="24"/>
                <w:sz w:val="16"/>
                <w:szCs w:val="16"/>
                <w:lang w:val="en-US" w:eastAsia="el-GR"/>
              </w:rPr>
              <w:t>0.2</w:t>
            </w:r>
          </w:p>
        </w:tc>
        <w:tc>
          <w:tcPr>
            <w:tcW w:w="1234" w:type="pct"/>
            <w:shd w:val="clear" w:color="auto" w:fill="auto"/>
            <w:tcMar>
              <w:top w:w="12" w:type="dxa"/>
              <w:left w:w="12" w:type="dxa"/>
              <w:bottom w:w="0" w:type="dxa"/>
              <w:right w:w="12" w:type="dxa"/>
            </w:tcMar>
            <w:vAlign w:val="center"/>
            <w:hideMark/>
          </w:tcPr>
          <w:p w14:paraId="5D0057F6" w14:textId="77777777" w:rsidR="004743E2" w:rsidRPr="00E36734" w:rsidRDefault="004743E2" w:rsidP="004743E2">
            <w:pPr>
              <w:spacing w:after="0" w:line="240" w:lineRule="auto"/>
              <w:jc w:val="center"/>
              <w:textAlignment w:val="center"/>
              <w:rPr>
                <w:rFonts w:ascii="Arial" w:eastAsia="Times New Roman" w:hAnsi="Arial" w:cs="Arial"/>
                <w:sz w:val="16"/>
                <w:szCs w:val="16"/>
                <w:lang w:eastAsia="el-GR"/>
              </w:rPr>
            </w:pPr>
            <w:r w:rsidRPr="00E36734">
              <w:rPr>
                <w:rFonts w:ascii="Microsoft JhengHei UI" w:eastAsia="Microsoft JhengHei UI" w:hAnsi="Microsoft JhengHei UI" w:cs="Arial" w:hint="eastAsia"/>
                <w:color w:val="000000"/>
                <w:kern w:val="24"/>
                <w:sz w:val="16"/>
                <w:szCs w:val="16"/>
                <w:lang w:val="en-US" w:eastAsia="el-GR"/>
              </w:rPr>
              <w:t>0</w:t>
            </w:r>
          </w:p>
        </w:tc>
      </w:tr>
    </w:tbl>
    <w:p w14:paraId="6946585B" w14:textId="77777777" w:rsidR="00A9257F" w:rsidRPr="00E36734" w:rsidRDefault="00A9257F" w:rsidP="00761263">
      <w:pPr>
        <w:spacing w:after="0" w:line="360" w:lineRule="auto"/>
        <w:jc w:val="both"/>
        <w:rPr>
          <w:rFonts w:ascii="Times New Roman" w:hAnsi="Times New Roman" w:cs="Times New Roman"/>
          <w:b/>
          <w:sz w:val="24"/>
          <w:szCs w:val="24"/>
          <w:u w:val="single"/>
        </w:rPr>
      </w:pPr>
    </w:p>
    <w:p w14:paraId="720E3746" w14:textId="1D332B3A" w:rsidR="00A9257F" w:rsidRPr="00E36734" w:rsidRDefault="008345E5" w:rsidP="00761263">
      <w:pPr>
        <w:tabs>
          <w:tab w:val="left" w:pos="4530"/>
        </w:tabs>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Όσον αφορά τις επιχειρήσεις εστίασης</w:t>
      </w:r>
      <w:r w:rsidR="00B800A3" w:rsidRPr="00E36734">
        <w:rPr>
          <w:rFonts w:ascii="Times New Roman" w:eastAsia="Times New Roman" w:hAnsi="Times New Roman" w:cs="Times New Roman"/>
          <w:sz w:val="24"/>
          <w:szCs w:val="24"/>
          <w:lang w:eastAsia="el-GR"/>
        </w:rPr>
        <w:t>,</w:t>
      </w:r>
      <w:r w:rsidRPr="00E36734">
        <w:rPr>
          <w:rFonts w:ascii="Times New Roman" w:eastAsia="Times New Roman" w:hAnsi="Times New Roman" w:cs="Times New Roman"/>
          <w:sz w:val="24"/>
          <w:szCs w:val="24"/>
          <w:lang w:eastAsia="el-GR"/>
        </w:rPr>
        <w:t xml:space="preserve"> 9 στις 10 (91,2%) δήλωσαν πως η κατάσταση τους επιδεινώθηκε το Β εξάμηνο του 2020. Το στοιχείο αυτό δείχνει την ιδιαίτερα δυσμενή κατάσταση στην οποία έχει βρεθεί ο κλάδος λόγω του παρατεταμένου διαστήματος που το μεγαλύτερο μέρος του βρίσκεται </w:t>
      </w:r>
      <w:r w:rsidR="00E47175" w:rsidRPr="00E36734">
        <w:rPr>
          <w:rFonts w:ascii="Times New Roman" w:eastAsia="Times New Roman" w:hAnsi="Times New Roman" w:cs="Times New Roman"/>
          <w:sz w:val="24"/>
          <w:szCs w:val="24"/>
          <w:lang w:eastAsia="el-GR"/>
        </w:rPr>
        <w:t>υπό το καθεστώς</w:t>
      </w:r>
      <w:r w:rsidRPr="00E36734">
        <w:rPr>
          <w:rFonts w:ascii="Times New Roman" w:eastAsia="Times New Roman" w:hAnsi="Times New Roman" w:cs="Times New Roman"/>
          <w:sz w:val="24"/>
          <w:szCs w:val="24"/>
          <w:lang w:eastAsia="el-GR"/>
        </w:rPr>
        <w:t xml:space="preserve"> αναστολή</w:t>
      </w:r>
      <w:r w:rsidR="00E47175" w:rsidRPr="00E36734">
        <w:rPr>
          <w:rFonts w:ascii="Times New Roman" w:eastAsia="Times New Roman" w:hAnsi="Times New Roman" w:cs="Times New Roman"/>
          <w:sz w:val="24"/>
          <w:szCs w:val="24"/>
          <w:lang w:eastAsia="el-GR"/>
        </w:rPr>
        <w:t>ς</w:t>
      </w:r>
      <w:r w:rsidRPr="00E36734">
        <w:rPr>
          <w:rFonts w:ascii="Times New Roman" w:eastAsia="Times New Roman" w:hAnsi="Times New Roman" w:cs="Times New Roman"/>
          <w:sz w:val="24"/>
          <w:szCs w:val="24"/>
          <w:lang w:eastAsia="el-GR"/>
        </w:rPr>
        <w:t xml:space="preserve"> λειτουργίας. </w:t>
      </w:r>
    </w:p>
    <w:p w14:paraId="266B7BC8" w14:textId="77777777" w:rsidR="00A9257F" w:rsidRPr="00E36734" w:rsidRDefault="00A9257F" w:rsidP="00761263">
      <w:pPr>
        <w:tabs>
          <w:tab w:val="left" w:pos="4530"/>
        </w:tabs>
        <w:spacing w:after="0" w:line="360" w:lineRule="auto"/>
        <w:jc w:val="both"/>
        <w:rPr>
          <w:rFonts w:ascii="Times New Roman" w:eastAsia="Times New Roman" w:hAnsi="Times New Roman" w:cs="Times New Roman"/>
          <w:b/>
          <w:bCs/>
          <w:sz w:val="24"/>
          <w:szCs w:val="24"/>
          <w:lang w:eastAsia="el-GR"/>
        </w:rPr>
      </w:pPr>
    </w:p>
    <w:p w14:paraId="7C4D3975" w14:textId="77777777" w:rsidR="00A9257F" w:rsidRPr="00E36734" w:rsidRDefault="00A9257F" w:rsidP="00761263">
      <w:pPr>
        <w:spacing w:after="0" w:line="360" w:lineRule="auto"/>
        <w:jc w:val="both"/>
        <w:rPr>
          <w:rFonts w:ascii="Times New Roman" w:hAnsi="Times New Roman" w:cs="Times New Roman"/>
          <w:b/>
          <w:sz w:val="24"/>
          <w:szCs w:val="24"/>
          <w:u w:val="single"/>
        </w:rPr>
      </w:pPr>
      <w:r w:rsidRPr="00E36734">
        <w:rPr>
          <w:rFonts w:ascii="Times New Roman" w:hAnsi="Times New Roman" w:cs="Times New Roman"/>
          <w:b/>
          <w:sz w:val="24"/>
          <w:szCs w:val="24"/>
          <w:u w:val="single"/>
        </w:rPr>
        <w:t>Κύκλος εργασιών</w:t>
      </w:r>
    </w:p>
    <w:p w14:paraId="68A02A4A" w14:textId="4B8AFAA4" w:rsidR="00785AB0" w:rsidRPr="00E36734" w:rsidRDefault="00A9257F" w:rsidP="00761263">
      <w:p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 xml:space="preserve">Ο δείκτης κύκλου εργασιών των </w:t>
      </w:r>
      <w:r w:rsidR="008345E5" w:rsidRPr="00E36734">
        <w:rPr>
          <w:rFonts w:ascii="Times New Roman" w:hAnsi="Times New Roman" w:cs="Times New Roman"/>
          <w:sz w:val="24"/>
          <w:szCs w:val="24"/>
        </w:rPr>
        <w:t xml:space="preserve">μικρών και </w:t>
      </w:r>
      <w:r w:rsidRPr="00E36734">
        <w:rPr>
          <w:rFonts w:ascii="Times New Roman" w:hAnsi="Times New Roman" w:cs="Times New Roman"/>
          <w:sz w:val="24"/>
          <w:szCs w:val="24"/>
        </w:rPr>
        <w:t xml:space="preserve">πολύ μικρών </w:t>
      </w:r>
      <w:r w:rsidR="004568FB" w:rsidRPr="00E36734">
        <w:rPr>
          <w:rFonts w:ascii="Times New Roman" w:hAnsi="Times New Roman" w:cs="Times New Roman"/>
          <w:sz w:val="24"/>
          <w:szCs w:val="24"/>
        </w:rPr>
        <w:t>επιχειρήσεων μετά την καθίζηση που κατέγραψε το Α εξάμηνο του 2020 (17,2 μονάδες), το Β εξάμηνο του έτους διαμορφώνεται στις 28,4</w:t>
      </w:r>
      <w:r w:rsidR="0091560F" w:rsidRPr="00E36734">
        <w:rPr>
          <w:rFonts w:ascii="Times New Roman" w:hAnsi="Times New Roman" w:cs="Times New Roman"/>
          <w:sz w:val="24"/>
          <w:szCs w:val="24"/>
        </w:rPr>
        <w:t xml:space="preserve"> μονάδες</w:t>
      </w:r>
      <w:r w:rsidRPr="00E36734">
        <w:rPr>
          <w:rFonts w:ascii="Times New Roman" w:hAnsi="Times New Roman" w:cs="Times New Roman"/>
          <w:sz w:val="24"/>
          <w:szCs w:val="24"/>
        </w:rPr>
        <w:t xml:space="preserve">. </w:t>
      </w:r>
      <w:r w:rsidR="004568FB" w:rsidRPr="00E36734">
        <w:rPr>
          <w:rFonts w:ascii="Times New Roman" w:hAnsi="Times New Roman" w:cs="Times New Roman"/>
          <w:sz w:val="24"/>
          <w:szCs w:val="24"/>
        </w:rPr>
        <w:t xml:space="preserve"> Παρουσιάζει δηλαδή μια αύξηση κατά 11 περίπου μονάδες σε σύγκριση με το προηγούμενο εξάμηνο κάτι που αποτυπώθηκε και στα στοιχεία της ΕΛΣΤΑΤ </w:t>
      </w:r>
      <w:r w:rsidR="00785AB0" w:rsidRPr="00E36734">
        <w:rPr>
          <w:rFonts w:ascii="Times New Roman" w:hAnsi="Times New Roman" w:cs="Times New Roman"/>
          <w:sz w:val="24"/>
          <w:szCs w:val="24"/>
        </w:rPr>
        <w:t xml:space="preserve">για τον κύκλο εργασιών </w:t>
      </w:r>
      <w:r w:rsidR="006F0247" w:rsidRPr="00E36734">
        <w:rPr>
          <w:rFonts w:ascii="Times New Roman" w:hAnsi="Times New Roman" w:cs="Times New Roman"/>
          <w:sz w:val="24"/>
          <w:szCs w:val="24"/>
        </w:rPr>
        <w:t xml:space="preserve">στο σύνολο </w:t>
      </w:r>
      <w:r w:rsidR="00785AB0" w:rsidRPr="00E36734">
        <w:rPr>
          <w:rFonts w:ascii="Times New Roman" w:hAnsi="Times New Roman" w:cs="Times New Roman"/>
          <w:sz w:val="24"/>
          <w:szCs w:val="24"/>
        </w:rPr>
        <w:t xml:space="preserve">των επιχειρήσεων όπου το Α εξάμηνο του 2020 </w:t>
      </w:r>
      <w:r w:rsidR="006F0247" w:rsidRPr="00E36734">
        <w:rPr>
          <w:rFonts w:ascii="Times New Roman" w:hAnsi="Times New Roman" w:cs="Times New Roman"/>
          <w:sz w:val="24"/>
          <w:szCs w:val="24"/>
        </w:rPr>
        <w:t>καταγράφηκε μεγαλύτερη μείωση</w:t>
      </w:r>
      <w:r w:rsidR="00785AB0" w:rsidRPr="00E36734">
        <w:rPr>
          <w:rFonts w:ascii="Times New Roman" w:hAnsi="Times New Roman" w:cs="Times New Roman"/>
          <w:sz w:val="24"/>
          <w:szCs w:val="24"/>
        </w:rPr>
        <w:t xml:space="preserve"> σε σύγκριση με το Β εξάμηνο του έτους. </w:t>
      </w:r>
    </w:p>
    <w:p w14:paraId="34873340" w14:textId="69417D6E" w:rsidR="00515537" w:rsidRPr="00E36734" w:rsidRDefault="0091560F" w:rsidP="00761263">
      <w:p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 xml:space="preserve">Ωστόσο η βελτίωση που καταγράφεται δεν μπορεί να θεωρηθεί ως σημάδι ανάκαμψης </w:t>
      </w:r>
      <w:r w:rsidR="00DB4D1C" w:rsidRPr="00E36734">
        <w:rPr>
          <w:rFonts w:ascii="Times New Roman" w:hAnsi="Times New Roman" w:cs="Times New Roman"/>
          <w:sz w:val="24"/>
          <w:szCs w:val="24"/>
        </w:rPr>
        <w:t>κυρίως γιατί</w:t>
      </w:r>
      <w:r w:rsidR="00515537" w:rsidRPr="00E36734">
        <w:rPr>
          <w:rFonts w:ascii="Times New Roman" w:hAnsi="Times New Roman" w:cs="Times New Roman"/>
          <w:sz w:val="24"/>
          <w:szCs w:val="24"/>
        </w:rPr>
        <w:t xml:space="preserve"> το ποσοστό των επιχειρήσεων που </w:t>
      </w:r>
      <w:r w:rsidR="00DB4D1C" w:rsidRPr="00E36734">
        <w:rPr>
          <w:rFonts w:ascii="Times New Roman" w:hAnsi="Times New Roman" w:cs="Times New Roman"/>
          <w:sz w:val="24"/>
          <w:szCs w:val="24"/>
        </w:rPr>
        <w:t>συνεχίζουν να καταγράφουν απώλειες παραμένει</w:t>
      </w:r>
      <w:r w:rsidR="00515537" w:rsidRPr="00E36734">
        <w:rPr>
          <w:rFonts w:ascii="Times New Roman" w:hAnsi="Times New Roman" w:cs="Times New Roman"/>
          <w:sz w:val="24"/>
          <w:szCs w:val="24"/>
        </w:rPr>
        <w:t xml:space="preserve"> συντριπτικό. </w:t>
      </w:r>
      <w:r w:rsidRPr="00E36734">
        <w:rPr>
          <w:rFonts w:ascii="Times New Roman" w:hAnsi="Times New Roman" w:cs="Times New Roman"/>
          <w:sz w:val="24"/>
          <w:szCs w:val="24"/>
        </w:rPr>
        <w:t xml:space="preserve"> </w:t>
      </w:r>
    </w:p>
    <w:p w14:paraId="1E09B2D1" w14:textId="4F0E0426" w:rsidR="00A9257F" w:rsidRPr="00E36734" w:rsidRDefault="00515537" w:rsidP="00906C6F">
      <w:p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lastRenderedPageBreak/>
        <w:t xml:space="preserve">Συγκεκριμένα </w:t>
      </w:r>
      <w:bookmarkStart w:id="5" w:name="_Hlk68074605"/>
      <w:r w:rsidRPr="00E36734">
        <w:rPr>
          <w:rFonts w:ascii="Times New Roman" w:hAnsi="Times New Roman" w:cs="Times New Roman"/>
          <w:sz w:val="24"/>
          <w:szCs w:val="24"/>
        </w:rPr>
        <w:t>7 στις 10 επιχειρήσεις (70,7%) δήλωσαν πως το Β εξάμηνο του 2020 μειώθηκε ο τζίρος έναντι μόλις του 11,1% που δήλωσε πως αυξήθηκε και του 16,9% που δήλωσε πως παρέμεινε αμετάβλητος</w:t>
      </w:r>
      <w:bookmarkEnd w:id="5"/>
      <w:r w:rsidR="00906C6F" w:rsidRPr="00E36734">
        <w:rPr>
          <w:rFonts w:ascii="Times New Roman" w:hAnsi="Times New Roman" w:cs="Times New Roman"/>
          <w:sz w:val="24"/>
          <w:szCs w:val="24"/>
        </w:rPr>
        <w:t xml:space="preserve"> (Γράφημα 4).</w:t>
      </w:r>
      <w:r w:rsidR="00A9257F" w:rsidRPr="00E36734">
        <w:rPr>
          <w:rFonts w:ascii="Times New Roman" w:hAnsi="Times New Roman" w:cs="Times New Roman"/>
          <w:sz w:val="24"/>
          <w:szCs w:val="24"/>
        </w:rPr>
        <w:t xml:space="preserve"> </w:t>
      </w:r>
    </w:p>
    <w:p w14:paraId="751DBD69" w14:textId="77777777" w:rsidR="00A9257F" w:rsidRPr="00E36734" w:rsidRDefault="00A9257F" w:rsidP="00761263">
      <w:pPr>
        <w:spacing w:after="0" w:line="360" w:lineRule="auto"/>
        <w:jc w:val="both"/>
        <w:rPr>
          <w:rFonts w:ascii="Times New Roman" w:hAnsi="Times New Roman" w:cs="Times New Roman"/>
          <w:sz w:val="24"/>
          <w:szCs w:val="24"/>
        </w:rPr>
      </w:pPr>
    </w:p>
    <w:p w14:paraId="24E68993" w14:textId="60099A94" w:rsidR="00F37328" w:rsidRPr="00E36734" w:rsidRDefault="00F37328" w:rsidP="00ED02ED">
      <w:pPr>
        <w:spacing w:after="0" w:line="360" w:lineRule="auto"/>
        <w:jc w:val="center"/>
        <w:rPr>
          <w:rFonts w:ascii="Times New Roman" w:hAnsi="Times New Roman" w:cs="Times New Roman"/>
          <w:noProof/>
          <w:sz w:val="24"/>
          <w:szCs w:val="24"/>
          <w:lang w:eastAsia="el-GR"/>
        </w:rPr>
      </w:pPr>
      <w:r w:rsidRPr="00E36734">
        <w:rPr>
          <w:rFonts w:ascii="Times New Roman" w:hAnsi="Times New Roman" w:cs="Times New Roman"/>
          <w:noProof/>
          <w:sz w:val="24"/>
          <w:szCs w:val="24"/>
          <w:bdr w:val="single" w:sz="4" w:space="0" w:color="auto"/>
          <w:lang w:eastAsia="el-GR"/>
        </w:rPr>
        <w:drawing>
          <wp:inline distT="0" distB="0" distL="0" distR="0" wp14:anchorId="18530730" wp14:editId="65071B96">
            <wp:extent cx="6385560" cy="4053840"/>
            <wp:effectExtent l="0" t="0" r="0" b="3810"/>
            <wp:docPr id="25" name="Γράφημα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7C0285" w14:textId="0F799198" w:rsidR="00515537" w:rsidRPr="00E36734" w:rsidRDefault="00515537" w:rsidP="00761263">
      <w:pPr>
        <w:spacing w:after="0" w:line="360" w:lineRule="auto"/>
        <w:jc w:val="both"/>
        <w:rPr>
          <w:rFonts w:ascii="Times New Roman" w:hAnsi="Times New Roman" w:cs="Times New Roman"/>
          <w:noProof/>
          <w:sz w:val="24"/>
          <w:szCs w:val="24"/>
          <w:lang w:eastAsia="el-GR"/>
        </w:rPr>
      </w:pPr>
    </w:p>
    <w:p w14:paraId="45D32FA3" w14:textId="750E227D" w:rsidR="00515537" w:rsidRPr="00E36734" w:rsidRDefault="00515537" w:rsidP="00761263">
      <w:pPr>
        <w:spacing w:after="0" w:line="360" w:lineRule="auto"/>
        <w:jc w:val="both"/>
        <w:rPr>
          <w:rFonts w:ascii="Times New Roman" w:hAnsi="Times New Roman" w:cs="Times New Roman"/>
          <w:noProof/>
          <w:sz w:val="24"/>
          <w:szCs w:val="24"/>
          <w:lang w:eastAsia="el-GR"/>
        </w:rPr>
      </w:pPr>
      <w:r w:rsidRPr="00E36734">
        <w:rPr>
          <w:rFonts w:ascii="Times New Roman" w:hAnsi="Times New Roman" w:cs="Times New Roman"/>
          <w:noProof/>
          <w:sz w:val="24"/>
          <w:szCs w:val="24"/>
          <w:lang w:eastAsia="el-GR"/>
        </w:rPr>
        <w:t>Στα επιμέρους στοιχεία οι χειρότερες επιδόσεις καταγράφονται στον κλάδο των υπηρεσιών (72%), στις μεγαλ</w:t>
      </w:r>
      <w:r w:rsidR="00295BAA" w:rsidRPr="00E36734">
        <w:rPr>
          <w:rFonts w:ascii="Times New Roman" w:hAnsi="Times New Roman" w:cs="Times New Roman"/>
          <w:noProof/>
          <w:sz w:val="24"/>
          <w:szCs w:val="24"/>
          <w:lang w:eastAsia="el-GR"/>
        </w:rPr>
        <w:t>ύ</w:t>
      </w:r>
      <w:r w:rsidRPr="00E36734">
        <w:rPr>
          <w:rFonts w:ascii="Times New Roman" w:hAnsi="Times New Roman" w:cs="Times New Roman"/>
          <w:noProof/>
          <w:sz w:val="24"/>
          <w:szCs w:val="24"/>
          <w:lang w:eastAsia="el-GR"/>
        </w:rPr>
        <w:t>τερες σε ηλ</w:t>
      </w:r>
      <w:r w:rsidR="00295BAA" w:rsidRPr="00E36734">
        <w:rPr>
          <w:rFonts w:ascii="Times New Roman" w:hAnsi="Times New Roman" w:cs="Times New Roman"/>
          <w:noProof/>
          <w:sz w:val="24"/>
          <w:szCs w:val="24"/>
          <w:lang w:eastAsia="el-GR"/>
        </w:rPr>
        <w:t>ι</w:t>
      </w:r>
      <w:r w:rsidRPr="00E36734">
        <w:rPr>
          <w:rFonts w:ascii="Times New Roman" w:hAnsi="Times New Roman" w:cs="Times New Roman"/>
          <w:noProof/>
          <w:sz w:val="24"/>
          <w:szCs w:val="24"/>
          <w:lang w:eastAsia="el-GR"/>
        </w:rPr>
        <w:t>κ</w:t>
      </w:r>
      <w:r w:rsidR="00295BAA" w:rsidRPr="00E36734">
        <w:rPr>
          <w:rFonts w:ascii="Times New Roman" w:hAnsi="Times New Roman" w:cs="Times New Roman"/>
          <w:noProof/>
          <w:sz w:val="24"/>
          <w:szCs w:val="24"/>
          <w:lang w:eastAsia="el-GR"/>
        </w:rPr>
        <w:t>ί</w:t>
      </w:r>
      <w:r w:rsidRPr="00E36734">
        <w:rPr>
          <w:rFonts w:ascii="Times New Roman" w:hAnsi="Times New Roman" w:cs="Times New Roman"/>
          <w:noProof/>
          <w:sz w:val="24"/>
          <w:szCs w:val="24"/>
          <w:lang w:eastAsia="el-GR"/>
        </w:rPr>
        <w:t>α επιχειρήσεις (72,1%), στις επιχειρ</w:t>
      </w:r>
      <w:r w:rsidR="00295BAA" w:rsidRPr="00E36734">
        <w:rPr>
          <w:rFonts w:ascii="Times New Roman" w:hAnsi="Times New Roman" w:cs="Times New Roman"/>
          <w:noProof/>
          <w:sz w:val="24"/>
          <w:szCs w:val="24"/>
          <w:lang w:eastAsia="el-GR"/>
        </w:rPr>
        <w:t>ή</w:t>
      </w:r>
      <w:r w:rsidRPr="00E36734">
        <w:rPr>
          <w:rFonts w:ascii="Times New Roman" w:hAnsi="Times New Roman" w:cs="Times New Roman"/>
          <w:noProof/>
          <w:sz w:val="24"/>
          <w:szCs w:val="24"/>
          <w:lang w:eastAsia="el-GR"/>
        </w:rPr>
        <w:t>σε</w:t>
      </w:r>
      <w:r w:rsidR="00295BAA" w:rsidRPr="00E36734">
        <w:rPr>
          <w:rFonts w:ascii="Times New Roman" w:hAnsi="Times New Roman" w:cs="Times New Roman"/>
          <w:noProof/>
          <w:sz w:val="24"/>
          <w:szCs w:val="24"/>
          <w:lang w:eastAsia="el-GR"/>
        </w:rPr>
        <w:t>ι</w:t>
      </w:r>
      <w:r w:rsidRPr="00E36734">
        <w:rPr>
          <w:rFonts w:ascii="Times New Roman" w:hAnsi="Times New Roman" w:cs="Times New Roman"/>
          <w:noProof/>
          <w:sz w:val="24"/>
          <w:szCs w:val="24"/>
          <w:lang w:eastAsia="el-GR"/>
        </w:rPr>
        <w:t xml:space="preserve">ς με τζίρο </w:t>
      </w:r>
      <w:r w:rsidR="00DB4D1C" w:rsidRPr="00E36734">
        <w:rPr>
          <w:rFonts w:ascii="Times New Roman" w:hAnsi="Times New Roman" w:cs="Times New Roman"/>
          <w:noProof/>
          <w:sz w:val="24"/>
          <w:szCs w:val="24"/>
          <w:lang w:eastAsia="el-GR"/>
        </w:rPr>
        <w:t>κάτω από</w:t>
      </w:r>
      <w:r w:rsidRPr="00E36734">
        <w:rPr>
          <w:rFonts w:ascii="Times New Roman" w:hAnsi="Times New Roman" w:cs="Times New Roman"/>
          <w:noProof/>
          <w:sz w:val="24"/>
          <w:szCs w:val="24"/>
          <w:lang w:eastAsia="el-GR"/>
        </w:rPr>
        <w:t xml:space="preserve"> 50.000 € (77,7%)</w:t>
      </w:r>
      <w:r w:rsidR="00D95643" w:rsidRPr="00E36734">
        <w:rPr>
          <w:rFonts w:ascii="Times New Roman" w:hAnsi="Times New Roman" w:cs="Times New Roman"/>
          <w:noProof/>
          <w:sz w:val="24"/>
          <w:szCs w:val="24"/>
          <w:lang w:eastAsia="el-GR"/>
        </w:rPr>
        <w:t xml:space="preserve">, στις επιχειρήσεις χωρίς προσωπικό (75,6%) και στις επιχειρήσεις με 1 </w:t>
      </w:r>
      <w:r w:rsidR="00DB4D1C" w:rsidRPr="00E36734">
        <w:rPr>
          <w:rFonts w:ascii="Times New Roman" w:hAnsi="Times New Roman" w:cs="Times New Roman"/>
          <w:noProof/>
          <w:sz w:val="24"/>
          <w:szCs w:val="24"/>
          <w:lang w:eastAsia="el-GR"/>
        </w:rPr>
        <w:t>ά</w:t>
      </w:r>
      <w:r w:rsidR="00D95643" w:rsidRPr="00E36734">
        <w:rPr>
          <w:rFonts w:ascii="Times New Roman" w:hAnsi="Times New Roman" w:cs="Times New Roman"/>
          <w:noProof/>
          <w:sz w:val="24"/>
          <w:szCs w:val="24"/>
          <w:lang w:eastAsia="el-GR"/>
        </w:rPr>
        <w:t>τομο προσωπικό (76,5%).</w:t>
      </w:r>
    </w:p>
    <w:p w14:paraId="49A75B1D" w14:textId="339F3DDA" w:rsidR="00D95643" w:rsidRPr="00E36734" w:rsidRDefault="00D95643" w:rsidP="00761263">
      <w:pPr>
        <w:spacing w:after="0" w:line="360" w:lineRule="auto"/>
        <w:jc w:val="both"/>
        <w:rPr>
          <w:rFonts w:ascii="Times New Roman" w:hAnsi="Times New Roman" w:cs="Times New Roman"/>
          <w:noProof/>
          <w:sz w:val="24"/>
          <w:szCs w:val="24"/>
          <w:lang w:eastAsia="el-GR"/>
        </w:rPr>
      </w:pPr>
      <w:r w:rsidRPr="00E36734">
        <w:rPr>
          <w:rFonts w:ascii="Times New Roman" w:hAnsi="Times New Roman" w:cs="Times New Roman"/>
          <w:noProof/>
          <w:sz w:val="24"/>
          <w:szCs w:val="24"/>
          <w:lang w:eastAsia="el-GR"/>
        </w:rPr>
        <w:t xml:space="preserve">Από την άλλη μεριά τις καλύτερες επιδόσεις παρουσιάζουν οι επιχειρήσεις με τζίρο πάνω από 300.000 € και οι επιχειρήσεις με πάνω από 5 </w:t>
      </w:r>
      <w:r w:rsidR="00295BAA" w:rsidRPr="00E36734">
        <w:rPr>
          <w:rFonts w:ascii="Times New Roman" w:hAnsi="Times New Roman" w:cs="Times New Roman"/>
          <w:noProof/>
          <w:sz w:val="24"/>
          <w:szCs w:val="24"/>
          <w:lang w:eastAsia="el-GR"/>
        </w:rPr>
        <w:t>ά</w:t>
      </w:r>
      <w:r w:rsidRPr="00E36734">
        <w:rPr>
          <w:rFonts w:ascii="Times New Roman" w:hAnsi="Times New Roman" w:cs="Times New Roman"/>
          <w:noProof/>
          <w:sz w:val="24"/>
          <w:szCs w:val="24"/>
          <w:lang w:eastAsia="el-GR"/>
        </w:rPr>
        <w:t xml:space="preserve">τομα προσωπικό (Γράφημα </w:t>
      </w:r>
      <w:r w:rsidR="00DB4D1C" w:rsidRPr="00E36734">
        <w:rPr>
          <w:rFonts w:ascii="Times New Roman" w:hAnsi="Times New Roman" w:cs="Times New Roman"/>
          <w:noProof/>
          <w:sz w:val="24"/>
          <w:szCs w:val="24"/>
          <w:lang w:eastAsia="el-GR"/>
        </w:rPr>
        <w:t>5</w:t>
      </w:r>
      <w:r w:rsidRPr="00E36734">
        <w:rPr>
          <w:rFonts w:ascii="Times New Roman" w:hAnsi="Times New Roman" w:cs="Times New Roman"/>
          <w:noProof/>
          <w:sz w:val="24"/>
          <w:szCs w:val="24"/>
          <w:lang w:eastAsia="el-GR"/>
        </w:rPr>
        <w:t xml:space="preserve">) </w:t>
      </w:r>
    </w:p>
    <w:p w14:paraId="25DECA08" w14:textId="40F51991" w:rsidR="00D95643" w:rsidRPr="00E36734" w:rsidRDefault="00D95643" w:rsidP="00761263">
      <w:pPr>
        <w:spacing w:after="0" w:line="360" w:lineRule="auto"/>
        <w:jc w:val="both"/>
        <w:rPr>
          <w:rFonts w:ascii="Times New Roman" w:hAnsi="Times New Roman" w:cs="Times New Roman"/>
          <w:noProof/>
          <w:sz w:val="24"/>
          <w:szCs w:val="24"/>
          <w:lang w:eastAsia="el-GR"/>
        </w:rPr>
      </w:pPr>
      <w:bookmarkStart w:id="6" w:name="_Hlk68245775"/>
      <w:r w:rsidRPr="00E36734">
        <w:rPr>
          <w:rFonts w:ascii="Times New Roman" w:hAnsi="Times New Roman" w:cs="Times New Roman"/>
          <w:noProof/>
          <w:sz w:val="24"/>
          <w:szCs w:val="24"/>
          <w:lang w:eastAsia="el-GR"/>
        </w:rPr>
        <w:t>Ιδιαίτερα δυσμενή</w:t>
      </w:r>
      <w:r w:rsidR="00B800A3" w:rsidRPr="00E36734">
        <w:rPr>
          <w:rFonts w:ascii="Times New Roman" w:hAnsi="Times New Roman" w:cs="Times New Roman"/>
          <w:noProof/>
          <w:sz w:val="24"/>
          <w:szCs w:val="24"/>
          <w:lang w:eastAsia="el-GR"/>
        </w:rPr>
        <w:t>ς</w:t>
      </w:r>
      <w:r w:rsidRPr="00E36734">
        <w:rPr>
          <w:rFonts w:ascii="Times New Roman" w:hAnsi="Times New Roman" w:cs="Times New Roman"/>
          <w:noProof/>
          <w:sz w:val="24"/>
          <w:szCs w:val="24"/>
          <w:lang w:eastAsia="el-GR"/>
        </w:rPr>
        <w:t xml:space="preserve"> είναι κατ</w:t>
      </w:r>
      <w:r w:rsidR="00655A77" w:rsidRPr="00E36734">
        <w:rPr>
          <w:rFonts w:ascii="Times New Roman" w:hAnsi="Times New Roman" w:cs="Times New Roman"/>
          <w:noProof/>
          <w:sz w:val="24"/>
          <w:szCs w:val="24"/>
          <w:lang w:eastAsia="el-GR"/>
        </w:rPr>
        <w:t>ά</w:t>
      </w:r>
      <w:r w:rsidRPr="00E36734">
        <w:rPr>
          <w:rFonts w:ascii="Times New Roman" w:hAnsi="Times New Roman" w:cs="Times New Roman"/>
          <w:noProof/>
          <w:sz w:val="24"/>
          <w:szCs w:val="24"/>
          <w:lang w:eastAsia="el-GR"/>
        </w:rPr>
        <w:t>σταση που καταγράφεται στις επιχειρήσεις που ανέστειλαν τη λειτουργία τους με κρατική εντολή</w:t>
      </w:r>
      <w:r w:rsidR="00B800A3" w:rsidRPr="00E36734">
        <w:rPr>
          <w:rFonts w:ascii="Times New Roman" w:hAnsi="Times New Roman" w:cs="Times New Roman"/>
          <w:noProof/>
          <w:sz w:val="24"/>
          <w:szCs w:val="24"/>
          <w:lang w:eastAsia="el-GR"/>
        </w:rPr>
        <w:t>,</w:t>
      </w:r>
      <w:r w:rsidRPr="00E36734">
        <w:rPr>
          <w:rFonts w:ascii="Times New Roman" w:hAnsi="Times New Roman" w:cs="Times New Roman"/>
          <w:noProof/>
          <w:sz w:val="24"/>
          <w:szCs w:val="24"/>
          <w:lang w:eastAsia="el-GR"/>
        </w:rPr>
        <w:t xml:space="preserve"> καθώς 8 στις 10 επιχειρήσεις δήλωσαν πως το Β εξ</w:t>
      </w:r>
      <w:r w:rsidR="00655A77" w:rsidRPr="00E36734">
        <w:rPr>
          <w:rFonts w:ascii="Times New Roman" w:hAnsi="Times New Roman" w:cs="Times New Roman"/>
          <w:noProof/>
          <w:sz w:val="24"/>
          <w:szCs w:val="24"/>
          <w:lang w:eastAsia="el-GR"/>
        </w:rPr>
        <w:t>ά</w:t>
      </w:r>
      <w:r w:rsidRPr="00E36734">
        <w:rPr>
          <w:rFonts w:ascii="Times New Roman" w:hAnsi="Times New Roman" w:cs="Times New Roman"/>
          <w:noProof/>
          <w:sz w:val="24"/>
          <w:szCs w:val="24"/>
          <w:lang w:eastAsia="el-GR"/>
        </w:rPr>
        <w:t>μηνο του 2020 μειώθηκε ο τζ</w:t>
      </w:r>
      <w:r w:rsidR="00655A77" w:rsidRPr="00E36734">
        <w:rPr>
          <w:rFonts w:ascii="Times New Roman" w:hAnsi="Times New Roman" w:cs="Times New Roman"/>
          <w:noProof/>
          <w:sz w:val="24"/>
          <w:szCs w:val="24"/>
          <w:lang w:eastAsia="el-GR"/>
        </w:rPr>
        <w:t>ί</w:t>
      </w:r>
      <w:r w:rsidRPr="00E36734">
        <w:rPr>
          <w:rFonts w:ascii="Times New Roman" w:hAnsi="Times New Roman" w:cs="Times New Roman"/>
          <w:noProof/>
          <w:sz w:val="24"/>
          <w:szCs w:val="24"/>
          <w:lang w:eastAsia="el-GR"/>
        </w:rPr>
        <w:t>ρ</w:t>
      </w:r>
      <w:r w:rsidR="00655A77" w:rsidRPr="00E36734">
        <w:rPr>
          <w:rFonts w:ascii="Times New Roman" w:hAnsi="Times New Roman" w:cs="Times New Roman"/>
          <w:noProof/>
          <w:sz w:val="24"/>
          <w:szCs w:val="24"/>
          <w:lang w:eastAsia="el-GR"/>
        </w:rPr>
        <w:t>ο</w:t>
      </w:r>
      <w:r w:rsidRPr="00E36734">
        <w:rPr>
          <w:rFonts w:ascii="Times New Roman" w:hAnsi="Times New Roman" w:cs="Times New Roman"/>
          <w:noProof/>
          <w:sz w:val="24"/>
          <w:szCs w:val="24"/>
          <w:lang w:eastAsia="el-GR"/>
        </w:rPr>
        <w:t>ς</w:t>
      </w:r>
      <w:r w:rsidR="001F3396" w:rsidRPr="00E36734">
        <w:rPr>
          <w:rFonts w:ascii="Times New Roman" w:hAnsi="Times New Roman" w:cs="Times New Roman"/>
          <w:noProof/>
          <w:sz w:val="24"/>
          <w:szCs w:val="24"/>
          <w:lang w:eastAsia="el-GR"/>
        </w:rPr>
        <w:t xml:space="preserve"> τους</w:t>
      </w:r>
      <w:r w:rsidRPr="00E36734">
        <w:rPr>
          <w:rFonts w:ascii="Times New Roman" w:hAnsi="Times New Roman" w:cs="Times New Roman"/>
          <w:noProof/>
          <w:sz w:val="24"/>
          <w:szCs w:val="24"/>
          <w:lang w:eastAsia="el-GR"/>
        </w:rPr>
        <w:t>, ενώ αντ</w:t>
      </w:r>
      <w:r w:rsidR="00655A77" w:rsidRPr="00E36734">
        <w:rPr>
          <w:rFonts w:ascii="Times New Roman" w:hAnsi="Times New Roman" w:cs="Times New Roman"/>
          <w:noProof/>
          <w:sz w:val="24"/>
          <w:szCs w:val="24"/>
          <w:lang w:eastAsia="el-GR"/>
        </w:rPr>
        <w:t>ί</w:t>
      </w:r>
      <w:r w:rsidRPr="00E36734">
        <w:rPr>
          <w:rFonts w:ascii="Times New Roman" w:hAnsi="Times New Roman" w:cs="Times New Roman"/>
          <w:noProof/>
          <w:sz w:val="24"/>
          <w:szCs w:val="24"/>
          <w:lang w:eastAsia="el-GR"/>
        </w:rPr>
        <w:t>στοιχα είναι και τα στοιχεία των πληττόμενων β</w:t>
      </w:r>
      <w:r w:rsidR="00295BAA" w:rsidRPr="00E36734">
        <w:rPr>
          <w:rFonts w:ascii="Times New Roman" w:hAnsi="Times New Roman" w:cs="Times New Roman"/>
          <w:noProof/>
          <w:sz w:val="24"/>
          <w:szCs w:val="24"/>
          <w:lang w:eastAsia="el-GR"/>
        </w:rPr>
        <w:t>ά</w:t>
      </w:r>
      <w:r w:rsidRPr="00E36734">
        <w:rPr>
          <w:rFonts w:ascii="Times New Roman" w:hAnsi="Times New Roman" w:cs="Times New Roman"/>
          <w:noProof/>
          <w:sz w:val="24"/>
          <w:szCs w:val="24"/>
          <w:lang w:eastAsia="el-GR"/>
        </w:rPr>
        <w:t>σει ΚΑΔ επιχειρήσεων όπου το 74,4% δήλωσε πως κατ</w:t>
      </w:r>
      <w:r w:rsidR="00655A77" w:rsidRPr="00E36734">
        <w:rPr>
          <w:rFonts w:ascii="Times New Roman" w:hAnsi="Times New Roman" w:cs="Times New Roman"/>
          <w:noProof/>
          <w:sz w:val="24"/>
          <w:szCs w:val="24"/>
          <w:lang w:eastAsia="el-GR"/>
        </w:rPr>
        <w:t>έ</w:t>
      </w:r>
      <w:r w:rsidRPr="00E36734">
        <w:rPr>
          <w:rFonts w:ascii="Times New Roman" w:hAnsi="Times New Roman" w:cs="Times New Roman"/>
          <w:noProof/>
          <w:sz w:val="24"/>
          <w:szCs w:val="24"/>
          <w:lang w:eastAsia="el-GR"/>
        </w:rPr>
        <w:t>γραψε με</w:t>
      </w:r>
      <w:r w:rsidR="00655A77" w:rsidRPr="00E36734">
        <w:rPr>
          <w:rFonts w:ascii="Times New Roman" w:hAnsi="Times New Roman" w:cs="Times New Roman"/>
          <w:noProof/>
          <w:sz w:val="24"/>
          <w:szCs w:val="24"/>
          <w:lang w:eastAsia="el-GR"/>
        </w:rPr>
        <w:t>ί</w:t>
      </w:r>
      <w:r w:rsidRPr="00E36734">
        <w:rPr>
          <w:rFonts w:ascii="Times New Roman" w:hAnsi="Times New Roman" w:cs="Times New Roman"/>
          <w:noProof/>
          <w:sz w:val="24"/>
          <w:szCs w:val="24"/>
          <w:lang w:eastAsia="el-GR"/>
        </w:rPr>
        <w:t>ωση του τζίρου το Β εξάμηνο του 2020</w:t>
      </w:r>
      <w:bookmarkEnd w:id="6"/>
      <w:r w:rsidRPr="00E36734">
        <w:rPr>
          <w:rFonts w:ascii="Times New Roman" w:hAnsi="Times New Roman" w:cs="Times New Roman"/>
          <w:noProof/>
          <w:sz w:val="24"/>
          <w:szCs w:val="24"/>
          <w:lang w:eastAsia="el-GR"/>
        </w:rPr>
        <w:t>.</w:t>
      </w:r>
    </w:p>
    <w:p w14:paraId="79348C6C" w14:textId="77777777" w:rsidR="00DB4D1C" w:rsidRPr="00E36734" w:rsidRDefault="00DB4D1C" w:rsidP="00DB4D1C">
      <w:pPr>
        <w:spacing w:after="0" w:line="360" w:lineRule="auto"/>
        <w:jc w:val="center"/>
        <w:rPr>
          <w:rFonts w:ascii="Times New Roman" w:hAnsi="Times New Roman" w:cs="Times New Roman"/>
          <w:b/>
          <w:bCs/>
          <w:noProof/>
          <w:sz w:val="24"/>
          <w:szCs w:val="24"/>
          <w:lang w:eastAsia="el-GR"/>
        </w:rPr>
      </w:pPr>
    </w:p>
    <w:p w14:paraId="3443EE5E" w14:textId="77777777" w:rsidR="00DB4D1C" w:rsidRPr="00E36734" w:rsidRDefault="00DB4D1C" w:rsidP="00DB4D1C">
      <w:pPr>
        <w:spacing w:after="0" w:line="360" w:lineRule="auto"/>
        <w:jc w:val="center"/>
        <w:rPr>
          <w:rFonts w:ascii="Times New Roman" w:hAnsi="Times New Roman" w:cs="Times New Roman"/>
          <w:b/>
          <w:bCs/>
          <w:noProof/>
          <w:sz w:val="24"/>
          <w:szCs w:val="24"/>
          <w:lang w:eastAsia="el-GR"/>
        </w:rPr>
      </w:pPr>
    </w:p>
    <w:p w14:paraId="5D9791B4" w14:textId="77777777" w:rsidR="00CC546C" w:rsidRPr="00E36734" w:rsidRDefault="00CC546C" w:rsidP="00A9799A">
      <w:pPr>
        <w:spacing w:after="0" w:line="360" w:lineRule="auto"/>
        <w:rPr>
          <w:rFonts w:ascii="Times New Roman" w:hAnsi="Times New Roman" w:cs="Times New Roman"/>
          <w:b/>
          <w:bCs/>
          <w:noProof/>
          <w:sz w:val="24"/>
          <w:szCs w:val="24"/>
          <w:lang w:eastAsia="el-GR"/>
        </w:rPr>
      </w:pPr>
    </w:p>
    <w:p w14:paraId="74E2C27F" w14:textId="77777777" w:rsidR="00CC546C" w:rsidRPr="00E36734" w:rsidRDefault="00CC546C" w:rsidP="00DB4D1C">
      <w:pPr>
        <w:spacing w:after="0" w:line="360" w:lineRule="auto"/>
        <w:jc w:val="center"/>
        <w:rPr>
          <w:rFonts w:ascii="Times New Roman" w:hAnsi="Times New Roman" w:cs="Times New Roman"/>
          <w:b/>
          <w:bCs/>
          <w:noProof/>
          <w:sz w:val="24"/>
          <w:szCs w:val="24"/>
          <w:lang w:eastAsia="el-GR"/>
        </w:rPr>
      </w:pPr>
    </w:p>
    <w:p w14:paraId="3603E78E" w14:textId="1ABD8D4F" w:rsidR="00DB4D1C" w:rsidRPr="00E36734" w:rsidRDefault="00DB4D1C" w:rsidP="00DB4D1C">
      <w:pPr>
        <w:spacing w:after="0" w:line="360" w:lineRule="auto"/>
        <w:jc w:val="center"/>
        <w:rPr>
          <w:rFonts w:ascii="Times New Roman" w:hAnsi="Times New Roman" w:cs="Times New Roman"/>
          <w:b/>
          <w:bCs/>
          <w:noProof/>
          <w:sz w:val="24"/>
          <w:szCs w:val="24"/>
          <w:lang w:eastAsia="el-GR"/>
        </w:rPr>
      </w:pPr>
      <w:r w:rsidRPr="00E36734">
        <w:rPr>
          <w:rFonts w:ascii="Times New Roman" w:hAnsi="Times New Roman" w:cs="Times New Roman"/>
          <w:b/>
          <w:bCs/>
          <w:noProof/>
          <w:sz w:val="24"/>
          <w:szCs w:val="24"/>
          <w:lang w:eastAsia="el-GR"/>
        </w:rPr>
        <w:lastRenderedPageBreak/>
        <w:t>Γράφημα 5</w:t>
      </w:r>
    </w:p>
    <w:p w14:paraId="4DE2FA0B" w14:textId="440CB18B" w:rsidR="00515537" w:rsidRPr="00E36734" w:rsidRDefault="00DB4D1C" w:rsidP="00DB4D1C">
      <w:pPr>
        <w:spacing w:after="0" w:line="360" w:lineRule="auto"/>
        <w:jc w:val="center"/>
        <w:rPr>
          <w:rFonts w:ascii="Times New Roman" w:hAnsi="Times New Roman" w:cs="Times New Roman"/>
          <w:b/>
          <w:bCs/>
          <w:noProof/>
          <w:sz w:val="24"/>
          <w:szCs w:val="24"/>
          <w:lang w:eastAsia="el-GR"/>
        </w:rPr>
      </w:pPr>
      <w:r w:rsidRPr="00E36734">
        <w:rPr>
          <w:rFonts w:ascii="Times New Roman" w:hAnsi="Times New Roman" w:cs="Times New Roman"/>
          <w:b/>
          <w:bCs/>
          <w:noProof/>
          <w:sz w:val="24"/>
          <w:szCs w:val="24"/>
          <w:lang w:eastAsia="el-GR"/>
        </w:rPr>
        <w:t xml:space="preserve">ΚΥΚΛΟΣ ΕΡΓΑΣΙΩΝ </w:t>
      </w:r>
      <w:r w:rsidRPr="00E36734">
        <w:rPr>
          <w:rFonts w:ascii="Times New Roman" w:hAnsi="Times New Roman" w:cs="Times New Roman"/>
          <w:b/>
          <w:bCs/>
          <w:noProof/>
          <w:sz w:val="24"/>
          <w:szCs w:val="24"/>
          <w:lang w:eastAsia="el-GR"/>
        </w:rPr>
        <w:br/>
        <w:t xml:space="preserve"> - Ανά κατηγορία -</w:t>
      </w:r>
    </w:p>
    <w:p w14:paraId="54898221" w14:textId="5982716A" w:rsidR="00515537" w:rsidRPr="00E36734" w:rsidRDefault="00515537" w:rsidP="00761263">
      <w:pPr>
        <w:spacing w:after="0" w:line="360" w:lineRule="auto"/>
        <w:jc w:val="both"/>
        <w:rPr>
          <w:rFonts w:ascii="Times New Roman" w:hAnsi="Times New Roman" w:cs="Times New Roman"/>
          <w:noProof/>
          <w:sz w:val="24"/>
          <w:szCs w:val="24"/>
          <w:lang w:eastAsia="el-GR"/>
        </w:rPr>
      </w:pPr>
      <w:r w:rsidRPr="00E36734">
        <w:rPr>
          <w:rFonts w:ascii="Times New Roman" w:hAnsi="Times New Roman" w:cs="Times New Roman"/>
          <w:noProof/>
          <w:sz w:val="24"/>
          <w:szCs w:val="24"/>
          <w:lang w:eastAsia="el-GR"/>
        </w:rPr>
        <w:drawing>
          <wp:inline distT="0" distB="0" distL="0" distR="0" wp14:anchorId="6D92F55B" wp14:editId="29E97463">
            <wp:extent cx="6751320" cy="3547110"/>
            <wp:effectExtent l="0" t="0" r="11430" b="15240"/>
            <wp:docPr id="3"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45DD6D" w14:textId="1F4C8A59" w:rsidR="00D95643" w:rsidRPr="00E36734" w:rsidRDefault="00D95643" w:rsidP="00761263">
      <w:pPr>
        <w:spacing w:after="0" w:line="360" w:lineRule="auto"/>
        <w:jc w:val="both"/>
        <w:rPr>
          <w:rFonts w:ascii="Times New Roman" w:hAnsi="Times New Roman" w:cs="Times New Roman"/>
          <w:noProof/>
          <w:sz w:val="24"/>
          <w:szCs w:val="24"/>
          <w:lang w:eastAsia="el-GR"/>
        </w:rPr>
      </w:pPr>
    </w:p>
    <w:p w14:paraId="048758A5" w14:textId="56BA72D7" w:rsidR="00F37328" w:rsidRPr="00E36734" w:rsidRDefault="004D3693" w:rsidP="00761263">
      <w:pPr>
        <w:spacing w:after="0" w:line="360" w:lineRule="auto"/>
        <w:jc w:val="both"/>
        <w:rPr>
          <w:rFonts w:ascii="Times New Roman" w:hAnsi="Times New Roman" w:cs="Times New Roman"/>
          <w:noProof/>
          <w:sz w:val="24"/>
          <w:szCs w:val="24"/>
          <w:lang w:eastAsia="el-GR"/>
        </w:rPr>
      </w:pPr>
      <w:r w:rsidRPr="00E36734">
        <w:rPr>
          <w:rFonts w:ascii="Times New Roman" w:hAnsi="Times New Roman" w:cs="Times New Roman"/>
          <w:noProof/>
          <w:sz w:val="24"/>
          <w:szCs w:val="24"/>
          <w:lang w:eastAsia="el-GR"/>
        </w:rPr>
        <w:t>Ό</w:t>
      </w:r>
      <w:r w:rsidR="001F3396" w:rsidRPr="00E36734">
        <w:rPr>
          <w:rFonts w:ascii="Times New Roman" w:hAnsi="Times New Roman" w:cs="Times New Roman"/>
          <w:noProof/>
          <w:sz w:val="24"/>
          <w:szCs w:val="24"/>
          <w:lang w:eastAsia="el-GR"/>
        </w:rPr>
        <w:t>σον αφορά τις ποσοστιαίες μεταβολές που έχουν επέλθει στον κύκλο εργασιών των επιχε</w:t>
      </w:r>
      <w:r w:rsidRPr="00E36734">
        <w:rPr>
          <w:rFonts w:ascii="Times New Roman" w:hAnsi="Times New Roman" w:cs="Times New Roman"/>
          <w:noProof/>
          <w:sz w:val="24"/>
          <w:szCs w:val="24"/>
          <w:lang w:eastAsia="el-GR"/>
        </w:rPr>
        <w:t>ι</w:t>
      </w:r>
      <w:r w:rsidR="001F3396" w:rsidRPr="00E36734">
        <w:rPr>
          <w:rFonts w:ascii="Times New Roman" w:hAnsi="Times New Roman" w:cs="Times New Roman"/>
          <w:noProof/>
          <w:sz w:val="24"/>
          <w:szCs w:val="24"/>
          <w:lang w:eastAsia="el-GR"/>
        </w:rPr>
        <w:t>ρήσεων</w:t>
      </w:r>
      <w:r w:rsidR="00B800A3" w:rsidRPr="00E36734">
        <w:rPr>
          <w:rFonts w:ascii="Times New Roman" w:hAnsi="Times New Roman" w:cs="Times New Roman"/>
          <w:noProof/>
          <w:sz w:val="24"/>
          <w:szCs w:val="24"/>
          <w:lang w:eastAsia="el-GR"/>
        </w:rPr>
        <w:t>,</w:t>
      </w:r>
      <w:r w:rsidR="001F3396" w:rsidRPr="00E36734">
        <w:rPr>
          <w:rFonts w:ascii="Times New Roman" w:hAnsi="Times New Roman" w:cs="Times New Roman"/>
          <w:noProof/>
          <w:sz w:val="24"/>
          <w:szCs w:val="24"/>
          <w:lang w:eastAsia="el-GR"/>
        </w:rPr>
        <w:t xml:space="preserve"> από τα στοιχεία της ερευνας προκύπτουν τα εξής:</w:t>
      </w:r>
    </w:p>
    <w:p w14:paraId="116B9BB2" w14:textId="73797E23" w:rsidR="001F3396" w:rsidRPr="00E36734" w:rsidRDefault="00DB4D1C" w:rsidP="001F3396">
      <w:pPr>
        <w:pStyle w:val="a5"/>
        <w:numPr>
          <w:ilvl w:val="0"/>
          <w:numId w:val="10"/>
        </w:numPr>
        <w:spacing w:after="0" w:line="360" w:lineRule="auto"/>
        <w:jc w:val="both"/>
        <w:rPr>
          <w:rFonts w:ascii="Times New Roman" w:hAnsi="Times New Roman" w:cs="Times New Roman"/>
          <w:noProof/>
          <w:sz w:val="24"/>
          <w:szCs w:val="24"/>
          <w:lang w:eastAsia="el-GR"/>
        </w:rPr>
      </w:pPr>
      <w:r w:rsidRPr="00E36734">
        <w:rPr>
          <w:rFonts w:ascii="Times New Roman" w:hAnsi="Times New Roman" w:cs="Times New Roman"/>
          <w:noProof/>
          <w:sz w:val="24"/>
          <w:szCs w:val="24"/>
          <w:lang w:eastAsia="el-GR"/>
        </w:rPr>
        <w:t>Οι 7 στις 10 επιχειρήσεις το Β εξάμηνο του 2020 κατέγραψαν μεσοσταθμική με</w:t>
      </w:r>
      <w:r w:rsidR="004D3693" w:rsidRPr="00E36734">
        <w:rPr>
          <w:rFonts w:ascii="Times New Roman" w:hAnsi="Times New Roman" w:cs="Times New Roman"/>
          <w:noProof/>
          <w:sz w:val="24"/>
          <w:szCs w:val="24"/>
          <w:lang w:eastAsia="el-GR"/>
        </w:rPr>
        <w:t>ί</w:t>
      </w:r>
      <w:r w:rsidRPr="00E36734">
        <w:rPr>
          <w:rFonts w:ascii="Times New Roman" w:hAnsi="Times New Roman" w:cs="Times New Roman"/>
          <w:noProof/>
          <w:sz w:val="24"/>
          <w:szCs w:val="24"/>
          <w:lang w:eastAsia="el-GR"/>
        </w:rPr>
        <w:t xml:space="preserve">ωση του τζίρου τους 47,8%  (Γράφημα 5). </w:t>
      </w:r>
    </w:p>
    <w:p w14:paraId="286B784C" w14:textId="0534D420" w:rsidR="001F3396" w:rsidRPr="00E36734" w:rsidRDefault="001F3396" w:rsidP="001F3396">
      <w:pPr>
        <w:pStyle w:val="a5"/>
        <w:numPr>
          <w:ilvl w:val="0"/>
          <w:numId w:val="10"/>
        </w:numPr>
        <w:spacing w:after="0" w:line="360" w:lineRule="auto"/>
        <w:jc w:val="both"/>
        <w:rPr>
          <w:rFonts w:ascii="Times New Roman" w:hAnsi="Times New Roman" w:cs="Times New Roman"/>
          <w:noProof/>
          <w:sz w:val="24"/>
          <w:szCs w:val="24"/>
          <w:lang w:eastAsia="el-GR"/>
        </w:rPr>
      </w:pPr>
      <w:r w:rsidRPr="00E36734">
        <w:rPr>
          <w:rFonts w:ascii="Times New Roman" w:hAnsi="Times New Roman" w:cs="Times New Roman"/>
          <w:noProof/>
          <w:sz w:val="24"/>
          <w:szCs w:val="24"/>
          <w:lang w:eastAsia="el-GR"/>
        </w:rPr>
        <w:t xml:space="preserve">Στον αντίποδα </w:t>
      </w:r>
      <w:r w:rsidR="00B800A3" w:rsidRPr="00E36734">
        <w:rPr>
          <w:rFonts w:ascii="Times New Roman" w:hAnsi="Times New Roman" w:cs="Times New Roman"/>
          <w:noProof/>
          <w:sz w:val="24"/>
          <w:szCs w:val="24"/>
          <w:lang w:eastAsia="el-GR"/>
        </w:rPr>
        <w:t>η</w:t>
      </w:r>
      <w:r w:rsidR="00DB4D1C" w:rsidRPr="00E36734">
        <w:rPr>
          <w:rFonts w:ascii="Times New Roman" w:hAnsi="Times New Roman" w:cs="Times New Roman"/>
          <w:noProof/>
          <w:sz w:val="24"/>
          <w:szCs w:val="24"/>
          <w:lang w:eastAsia="el-GR"/>
        </w:rPr>
        <w:t xml:space="preserve"> 1</w:t>
      </w:r>
      <w:r w:rsidR="00B800A3" w:rsidRPr="00E36734">
        <w:rPr>
          <w:rFonts w:ascii="Times New Roman" w:hAnsi="Times New Roman" w:cs="Times New Roman"/>
          <w:noProof/>
          <w:sz w:val="24"/>
          <w:szCs w:val="24"/>
          <w:lang w:eastAsia="el-GR"/>
        </w:rPr>
        <w:t xml:space="preserve"> </w:t>
      </w:r>
      <w:r w:rsidR="00DB4D1C" w:rsidRPr="00E36734">
        <w:rPr>
          <w:rFonts w:ascii="Times New Roman" w:hAnsi="Times New Roman" w:cs="Times New Roman"/>
          <w:noProof/>
          <w:sz w:val="24"/>
          <w:szCs w:val="24"/>
          <w:lang w:eastAsia="el-GR"/>
        </w:rPr>
        <w:t xml:space="preserve">στις 10 επιχειρήσεις (11,1%) κατέγραψε μεσοσταθμική </w:t>
      </w:r>
      <w:r w:rsidRPr="00E36734">
        <w:rPr>
          <w:rFonts w:ascii="Times New Roman" w:hAnsi="Times New Roman" w:cs="Times New Roman"/>
          <w:noProof/>
          <w:sz w:val="24"/>
          <w:szCs w:val="24"/>
          <w:lang w:eastAsia="el-GR"/>
        </w:rPr>
        <w:t>α</w:t>
      </w:r>
      <w:r w:rsidR="004D3693" w:rsidRPr="00E36734">
        <w:rPr>
          <w:rFonts w:ascii="Times New Roman" w:hAnsi="Times New Roman" w:cs="Times New Roman"/>
          <w:noProof/>
          <w:sz w:val="24"/>
          <w:szCs w:val="24"/>
          <w:lang w:eastAsia="el-GR"/>
        </w:rPr>
        <w:t>ύ</w:t>
      </w:r>
      <w:r w:rsidRPr="00E36734">
        <w:rPr>
          <w:rFonts w:ascii="Times New Roman" w:hAnsi="Times New Roman" w:cs="Times New Roman"/>
          <w:noProof/>
          <w:sz w:val="24"/>
          <w:szCs w:val="24"/>
          <w:lang w:eastAsia="el-GR"/>
        </w:rPr>
        <w:t>ξηση του τζίρου</w:t>
      </w:r>
      <w:r w:rsidR="00DB4D1C" w:rsidRPr="00E36734">
        <w:rPr>
          <w:rFonts w:ascii="Times New Roman" w:hAnsi="Times New Roman" w:cs="Times New Roman"/>
          <w:noProof/>
          <w:sz w:val="24"/>
          <w:szCs w:val="24"/>
          <w:lang w:eastAsia="el-GR"/>
        </w:rPr>
        <w:t xml:space="preserve"> του</w:t>
      </w:r>
      <w:r w:rsidRPr="00E36734">
        <w:rPr>
          <w:rFonts w:ascii="Times New Roman" w:hAnsi="Times New Roman" w:cs="Times New Roman"/>
          <w:noProof/>
          <w:sz w:val="24"/>
          <w:szCs w:val="24"/>
          <w:lang w:eastAsia="el-GR"/>
        </w:rPr>
        <w:t xml:space="preserve"> 21,2%.</w:t>
      </w:r>
    </w:p>
    <w:p w14:paraId="4F6EB391" w14:textId="7FDD7325" w:rsidR="001F3396" w:rsidRPr="00E36734" w:rsidRDefault="001F3396" w:rsidP="001F3396">
      <w:pPr>
        <w:pStyle w:val="a5"/>
        <w:numPr>
          <w:ilvl w:val="0"/>
          <w:numId w:val="10"/>
        </w:numPr>
        <w:spacing w:after="0" w:line="360" w:lineRule="auto"/>
        <w:jc w:val="both"/>
        <w:rPr>
          <w:rFonts w:ascii="Times New Roman" w:hAnsi="Times New Roman" w:cs="Times New Roman"/>
          <w:noProof/>
          <w:sz w:val="24"/>
          <w:szCs w:val="24"/>
          <w:lang w:eastAsia="el-GR"/>
        </w:rPr>
      </w:pPr>
      <w:bookmarkStart w:id="7" w:name="_Hlk68074662"/>
      <w:r w:rsidRPr="00E36734">
        <w:rPr>
          <w:rFonts w:ascii="Times New Roman" w:hAnsi="Times New Roman" w:cs="Times New Roman"/>
          <w:noProof/>
          <w:sz w:val="24"/>
          <w:szCs w:val="24"/>
          <w:lang w:eastAsia="el-GR"/>
        </w:rPr>
        <w:t>Στο σ</w:t>
      </w:r>
      <w:r w:rsidR="00DB4D1C" w:rsidRPr="00E36734">
        <w:rPr>
          <w:rFonts w:ascii="Times New Roman" w:hAnsi="Times New Roman" w:cs="Times New Roman"/>
          <w:noProof/>
          <w:sz w:val="24"/>
          <w:szCs w:val="24"/>
          <w:lang w:eastAsia="el-GR"/>
        </w:rPr>
        <w:t>ύ</w:t>
      </w:r>
      <w:r w:rsidRPr="00E36734">
        <w:rPr>
          <w:rFonts w:ascii="Times New Roman" w:hAnsi="Times New Roman" w:cs="Times New Roman"/>
          <w:noProof/>
          <w:sz w:val="24"/>
          <w:szCs w:val="24"/>
          <w:lang w:eastAsia="el-GR"/>
        </w:rPr>
        <w:t>νολο των επιχειρήσεων ο κ</w:t>
      </w:r>
      <w:r w:rsidR="00DB4D1C" w:rsidRPr="00E36734">
        <w:rPr>
          <w:rFonts w:ascii="Times New Roman" w:hAnsi="Times New Roman" w:cs="Times New Roman"/>
          <w:noProof/>
          <w:sz w:val="24"/>
          <w:szCs w:val="24"/>
          <w:lang w:eastAsia="el-GR"/>
        </w:rPr>
        <w:t>ύ</w:t>
      </w:r>
      <w:r w:rsidRPr="00E36734">
        <w:rPr>
          <w:rFonts w:ascii="Times New Roman" w:hAnsi="Times New Roman" w:cs="Times New Roman"/>
          <w:noProof/>
          <w:sz w:val="24"/>
          <w:szCs w:val="24"/>
          <w:lang w:eastAsia="el-GR"/>
        </w:rPr>
        <w:t xml:space="preserve">κλος εργασιών </w:t>
      </w:r>
      <w:r w:rsidR="00DB4D1C" w:rsidRPr="00E36734">
        <w:rPr>
          <w:rFonts w:ascii="Times New Roman" w:hAnsi="Times New Roman" w:cs="Times New Roman"/>
          <w:noProof/>
          <w:sz w:val="24"/>
          <w:szCs w:val="24"/>
          <w:lang w:eastAsia="el-GR"/>
        </w:rPr>
        <w:t>μειώθηκε μεσοσταθμικά</w:t>
      </w:r>
      <w:r w:rsidRPr="00E36734">
        <w:rPr>
          <w:rFonts w:ascii="Times New Roman" w:hAnsi="Times New Roman" w:cs="Times New Roman"/>
          <w:noProof/>
          <w:sz w:val="24"/>
          <w:szCs w:val="24"/>
          <w:lang w:eastAsia="el-GR"/>
        </w:rPr>
        <w:t xml:space="preserve"> κατά 32,4%</w:t>
      </w:r>
      <w:bookmarkEnd w:id="7"/>
      <w:r w:rsidRPr="00E36734">
        <w:rPr>
          <w:rFonts w:ascii="Times New Roman" w:hAnsi="Times New Roman" w:cs="Times New Roman"/>
          <w:noProof/>
          <w:sz w:val="24"/>
          <w:szCs w:val="24"/>
          <w:lang w:eastAsia="el-GR"/>
        </w:rPr>
        <w:t xml:space="preserve"> το Β εξάμηνο του 2020, έναντι 40,1% </w:t>
      </w:r>
      <w:r w:rsidR="001E56CB" w:rsidRPr="00E36734">
        <w:rPr>
          <w:rFonts w:ascii="Times New Roman" w:hAnsi="Times New Roman" w:cs="Times New Roman"/>
          <w:noProof/>
          <w:sz w:val="24"/>
          <w:szCs w:val="24"/>
          <w:lang w:eastAsia="el-GR"/>
        </w:rPr>
        <w:t xml:space="preserve">που είχε </w:t>
      </w:r>
      <w:r w:rsidR="00DB4D1C" w:rsidRPr="00E36734">
        <w:rPr>
          <w:rFonts w:ascii="Times New Roman" w:hAnsi="Times New Roman" w:cs="Times New Roman"/>
          <w:noProof/>
          <w:sz w:val="24"/>
          <w:szCs w:val="24"/>
          <w:lang w:eastAsia="el-GR"/>
        </w:rPr>
        <w:t>καταγραφεί</w:t>
      </w:r>
      <w:r w:rsidR="001E56CB" w:rsidRPr="00E36734">
        <w:rPr>
          <w:rFonts w:ascii="Times New Roman" w:hAnsi="Times New Roman" w:cs="Times New Roman"/>
          <w:noProof/>
          <w:sz w:val="24"/>
          <w:szCs w:val="24"/>
          <w:lang w:eastAsia="el-GR"/>
        </w:rPr>
        <w:t xml:space="preserve"> το Α εξάμηνο.</w:t>
      </w:r>
    </w:p>
    <w:p w14:paraId="1823B187" w14:textId="3A4C882F" w:rsidR="00C07136" w:rsidRPr="00E36734" w:rsidRDefault="00C07136" w:rsidP="00876EEE">
      <w:pPr>
        <w:spacing w:after="0" w:line="360" w:lineRule="auto"/>
        <w:jc w:val="both"/>
        <w:rPr>
          <w:rFonts w:ascii="Times New Roman" w:hAnsi="Times New Roman" w:cs="Times New Roman"/>
          <w:noProof/>
          <w:sz w:val="24"/>
          <w:szCs w:val="24"/>
          <w:lang w:eastAsia="el-GR"/>
        </w:rPr>
      </w:pPr>
    </w:p>
    <w:p w14:paraId="25114B44" w14:textId="23814187" w:rsidR="00CC546C" w:rsidRPr="00E36734" w:rsidRDefault="00CC546C" w:rsidP="00876EEE">
      <w:pPr>
        <w:spacing w:after="0" w:line="360" w:lineRule="auto"/>
        <w:jc w:val="both"/>
        <w:rPr>
          <w:rFonts w:ascii="Times New Roman" w:hAnsi="Times New Roman" w:cs="Times New Roman"/>
          <w:noProof/>
          <w:sz w:val="24"/>
          <w:szCs w:val="24"/>
          <w:lang w:eastAsia="el-GR"/>
        </w:rPr>
      </w:pPr>
    </w:p>
    <w:p w14:paraId="30BB9902" w14:textId="27E9A7B6" w:rsidR="00CC546C" w:rsidRPr="00E36734" w:rsidRDefault="00CC546C" w:rsidP="00876EEE">
      <w:pPr>
        <w:spacing w:after="0" w:line="360" w:lineRule="auto"/>
        <w:jc w:val="both"/>
        <w:rPr>
          <w:rFonts w:ascii="Times New Roman" w:hAnsi="Times New Roman" w:cs="Times New Roman"/>
          <w:noProof/>
          <w:sz w:val="24"/>
          <w:szCs w:val="24"/>
          <w:lang w:eastAsia="el-GR"/>
        </w:rPr>
      </w:pPr>
    </w:p>
    <w:p w14:paraId="49D3BD9E" w14:textId="5B1E41B2" w:rsidR="00CC546C" w:rsidRPr="00E36734" w:rsidRDefault="00CC546C" w:rsidP="00876EEE">
      <w:pPr>
        <w:spacing w:after="0" w:line="360" w:lineRule="auto"/>
        <w:jc w:val="both"/>
        <w:rPr>
          <w:rFonts w:ascii="Times New Roman" w:hAnsi="Times New Roman" w:cs="Times New Roman"/>
          <w:noProof/>
          <w:sz w:val="24"/>
          <w:szCs w:val="24"/>
          <w:lang w:eastAsia="el-GR"/>
        </w:rPr>
      </w:pPr>
    </w:p>
    <w:p w14:paraId="32CB27B3" w14:textId="36BED64B" w:rsidR="00CC546C" w:rsidRPr="00E36734" w:rsidRDefault="00CC546C" w:rsidP="00876EEE">
      <w:pPr>
        <w:spacing w:after="0" w:line="360" w:lineRule="auto"/>
        <w:jc w:val="both"/>
        <w:rPr>
          <w:rFonts w:ascii="Times New Roman" w:hAnsi="Times New Roman" w:cs="Times New Roman"/>
          <w:noProof/>
          <w:sz w:val="24"/>
          <w:szCs w:val="24"/>
          <w:lang w:eastAsia="el-GR"/>
        </w:rPr>
      </w:pPr>
    </w:p>
    <w:p w14:paraId="522FD409" w14:textId="0FE6407A" w:rsidR="00CC546C" w:rsidRPr="00E36734" w:rsidRDefault="00CC546C" w:rsidP="00876EEE">
      <w:pPr>
        <w:spacing w:after="0" w:line="360" w:lineRule="auto"/>
        <w:jc w:val="both"/>
        <w:rPr>
          <w:rFonts w:ascii="Times New Roman" w:hAnsi="Times New Roman" w:cs="Times New Roman"/>
          <w:noProof/>
          <w:sz w:val="24"/>
          <w:szCs w:val="24"/>
          <w:lang w:eastAsia="el-GR"/>
        </w:rPr>
      </w:pPr>
    </w:p>
    <w:p w14:paraId="0F444EAE" w14:textId="4A8B3231" w:rsidR="00CC546C" w:rsidRPr="00E36734" w:rsidRDefault="00CC546C" w:rsidP="00876EEE">
      <w:pPr>
        <w:spacing w:after="0" w:line="360" w:lineRule="auto"/>
        <w:jc w:val="both"/>
        <w:rPr>
          <w:rFonts w:ascii="Times New Roman" w:hAnsi="Times New Roman" w:cs="Times New Roman"/>
          <w:noProof/>
          <w:sz w:val="24"/>
          <w:szCs w:val="24"/>
          <w:lang w:eastAsia="el-GR"/>
        </w:rPr>
      </w:pPr>
    </w:p>
    <w:p w14:paraId="5911587E" w14:textId="77777777" w:rsidR="00CC546C" w:rsidRPr="00E36734" w:rsidRDefault="00CC546C" w:rsidP="00876EEE">
      <w:pPr>
        <w:spacing w:after="0" w:line="360" w:lineRule="auto"/>
        <w:jc w:val="both"/>
        <w:rPr>
          <w:rFonts w:ascii="Times New Roman" w:hAnsi="Times New Roman" w:cs="Times New Roman"/>
          <w:noProof/>
          <w:sz w:val="24"/>
          <w:szCs w:val="24"/>
          <w:lang w:eastAsia="el-GR"/>
        </w:rPr>
      </w:pPr>
    </w:p>
    <w:p w14:paraId="6CE76075" w14:textId="1715A39A" w:rsidR="00C07136" w:rsidRPr="00E36734" w:rsidRDefault="00C07136" w:rsidP="00C07136">
      <w:pPr>
        <w:spacing w:after="0" w:line="360" w:lineRule="auto"/>
        <w:jc w:val="center"/>
        <w:rPr>
          <w:rFonts w:ascii="Times New Roman" w:hAnsi="Times New Roman" w:cs="Times New Roman"/>
          <w:b/>
          <w:sz w:val="24"/>
          <w:szCs w:val="24"/>
        </w:rPr>
      </w:pPr>
      <w:r w:rsidRPr="00E36734">
        <w:rPr>
          <w:rFonts w:ascii="Times New Roman" w:hAnsi="Times New Roman" w:cs="Times New Roman"/>
          <w:b/>
          <w:sz w:val="24"/>
          <w:szCs w:val="24"/>
        </w:rPr>
        <w:lastRenderedPageBreak/>
        <w:t xml:space="preserve">Γράφημα </w:t>
      </w:r>
      <w:r w:rsidR="00C01329" w:rsidRPr="00E36734">
        <w:rPr>
          <w:rFonts w:ascii="Times New Roman" w:hAnsi="Times New Roman" w:cs="Times New Roman"/>
          <w:b/>
          <w:sz w:val="24"/>
          <w:szCs w:val="24"/>
        </w:rPr>
        <w:t>6</w:t>
      </w:r>
    </w:p>
    <w:p w14:paraId="036C6783" w14:textId="358C2C3A" w:rsidR="00C07136" w:rsidRPr="00E36734" w:rsidRDefault="00C07136" w:rsidP="00C07136">
      <w:pPr>
        <w:spacing w:after="0" w:line="360" w:lineRule="auto"/>
        <w:jc w:val="center"/>
        <w:rPr>
          <w:rFonts w:ascii="Times New Roman" w:hAnsi="Times New Roman" w:cs="Times New Roman"/>
          <w:b/>
          <w:sz w:val="24"/>
          <w:szCs w:val="24"/>
        </w:rPr>
      </w:pPr>
      <w:r w:rsidRPr="00E36734">
        <w:rPr>
          <w:rFonts w:ascii="Times New Roman" w:hAnsi="Times New Roman" w:cs="Times New Roman"/>
          <w:b/>
          <w:sz w:val="24"/>
          <w:szCs w:val="24"/>
        </w:rPr>
        <w:t>Ποσοστό μείωσης κύκλου εργασιών</w:t>
      </w:r>
    </w:p>
    <w:p w14:paraId="5D898B8E" w14:textId="19C1AE02" w:rsidR="00C07136" w:rsidRPr="00E36734" w:rsidRDefault="00C07136" w:rsidP="00C07136">
      <w:pPr>
        <w:spacing w:after="0" w:line="360" w:lineRule="auto"/>
        <w:jc w:val="center"/>
        <w:rPr>
          <w:rFonts w:ascii="Times New Roman" w:hAnsi="Times New Roman" w:cs="Times New Roman"/>
          <w:b/>
          <w:sz w:val="24"/>
          <w:szCs w:val="24"/>
        </w:rPr>
      </w:pPr>
      <w:r w:rsidRPr="00E36734">
        <w:rPr>
          <w:rFonts w:ascii="Times New Roman" w:hAnsi="Times New Roman" w:cs="Times New Roman"/>
          <w:b/>
          <w:sz w:val="24"/>
          <w:szCs w:val="24"/>
        </w:rPr>
        <w:t>-Βάση επιχειρήσεις που δήλωσαν πως μειώθηκε ο τζίρος τους -</w:t>
      </w:r>
    </w:p>
    <w:p w14:paraId="70CBBB91" w14:textId="77777777" w:rsidR="00C07136" w:rsidRPr="00E36734" w:rsidRDefault="00C07136" w:rsidP="00C07136">
      <w:pPr>
        <w:spacing w:after="0" w:line="360" w:lineRule="auto"/>
        <w:jc w:val="both"/>
        <w:rPr>
          <w:rFonts w:ascii="Times New Roman" w:hAnsi="Times New Roman" w:cs="Times New Roman"/>
          <w:sz w:val="24"/>
          <w:szCs w:val="24"/>
        </w:rPr>
      </w:pPr>
      <w:r w:rsidRPr="00E36734">
        <w:rPr>
          <w:noProof/>
          <w:lang w:eastAsia="el-GR"/>
        </w:rPr>
        <mc:AlternateContent>
          <mc:Choice Requires="wps">
            <w:drawing>
              <wp:anchor distT="0" distB="0" distL="114300" distR="114300" simplePos="0" relativeHeight="251658240" behindDoc="0" locked="0" layoutInCell="1" allowOverlap="1" wp14:anchorId="0C5B3783" wp14:editId="226D4D38">
                <wp:simplePos x="0" y="0"/>
                <wp:positionH relativeFrom="column">
                  <wp:posOffset>4037965</wp:posOffset>
                </wp:positionH>
                <wp:positionV relativeFrom="paragraph">
                  <wp:posOffset>1283970</wp:posOffset>
                </wp:positionV>
                <wp:extent cx="2232025" cy="784225"/>
                <wp:effectExtent l="0" t="0" r="15875" b="25400"/>
                <wp:wrapNone/>
                <wp:docPr id="27" name="TextBox 4"/>
                <wp:cNvGraphicFramePr/>
                <a:graphic xmlns:a="http://schemas.openxmlformats.org/drawingml/2006/main">
                  <a:graphicData uri="http://schemas.microsoft.com/office/word/2010/wordprocessingShape">
                    <wps:wsp>
                      <wps:cNvSpPr txBox="1"/>
                      <wps:spPr>
                        <a:xfrm>
                          <a:off x="0" y="0"/>
                          <a:ext cx="2232025" cy="784225"/>
                        </a:xfrm>
                        <a:prstGeom prst="rect">
                          <a:avLst/>
                        </a:prstGeom>
                        <a:solidFill>
                          <a:sysClr val="window" lastClr="FFFFFF"/>
                        </a:solidFill>
                        <a:ln w="25400" cap="flat" cmpd="sng" algn="ctr">
                          <a:solidFill>
                            <a:srgbClr val="C0504D"/>
                          </a:solidFill>
                          <a:prstDash val="solid"/>
                        </a:ln>
                        <a:effectLst/>
                      </wps:spPr>
                      <wps:txbx>
                        <w:txbxContent>
                          <w:p w14:paraId="7E2BAF0C" w14:textId="77777777" w:rsidR="00C83512" w:rsidRDefault="00C83512" w:rsidP="00C07136">
                            <w:pPr>
                              <w:pStyle w:val="Web"/>
                              <w:spacing w:before="0" w:beforeAutospacing="0" w:after="0" w:afterAutospacing="0" w:line="360" w:lineRule="auto"/>
                              <w:jc w:val="center"/>
                              <w:textAlignment w:val="baseline"/>
                            </w:pPr>
                            <w:r>
                              <w:rPr>
                                <w:rFonts w:ascii="Microsoft JhengHei UI" w:eastAsia="Microsoft JhengHei UI" w:hAnsi="Microsoft JhengHei UI" w:cs="+mn-cs" w:hint="eastAsia"/>
                                <w:b/>
                                <w:bCs/>
                                <w:color w:val="000000"/>
                                <w:kern w:val="24"/>
                                <w:sz w:val="28"/>
                                <w:szCs w:val="28"/>
                              </w:rPr>
                              <w:t xml:space="preserve">Μ.Ο. μείωσης τζίρου: </w:t>
                            </w:r>
                            <w:r>
                              <w:rPr>
                                <w:rFonts w:ascii="Microsoft JhengHei UI" w:eastAsia="Microsoft JhengHei UI" w:hAnsi="Microsoft JhengHei UI" w:cs="+mn-cs" w:hint="eastAsia"/>
                                <w:b/>
                                <w:bCs/>
                                <w:color w:val="000000"/>
                                <w:kern w:val="24"/>
                                <w:sz w:val="32"/>
                                <w:szCs w:val="32"/>
                              </w:rPr>
                              <w:t>47,8%</w:t>
                            </w:r>
                          </w:p>
                        </w:txbxContent>
                      </wps:txbx>
                      <wps:bodyPr wrap="square" rtlCol="0">
                        <a:spAutoFit/>
                      </wps:bodyPr>
                    </wps:wsp>
                  </a:graphicData>
                </a:graphic>
              </wp:anchor>
            </w:drawing>
          </mc:Choice>
          <mc:Fallback>
            <w:pict>
              <v:shapetype w14:anchorId="0C5B3783" id="_x0000_t202" coordsize="21600,21600" o:spt="202" path="m,l,21600r21600,l21600,xe">
                <v:stroke joinstyle="miter"/>
                <v:path gradientshapeok="t" o:connecttype="rect"/>
              </v:shapetype>
              <v:shape id="TextBox 4" o:spid="_x0000_s1026" type="#_x0000_t202" style="position:absolute;left:0;text-align:left;margin-left:317.95pt;margin-top:101.1pt;width:175.75pt;height:6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" fillcolor="window" strokecolor="#c0504d" strokeweight="2pt">
                <v:textbox style="mso-fit-shape-to-text:t">
                  <w:txbxContent>
                    <w:p w14:paraId="7E2BAF0C" w14:textId="77777777" w:rsidR="00C83512" w:rsidRDefault="00C83512" w:rsidP="00C07136">
                      <w:pPr>
                        <w:pStyle w:val="Web"/>
                        <w:spacing w:before="0" w:beforeAutospacing="0" w:after="0" w:afterAutospacing="0" w:line="360" w:lineRule="auto"/>
                        <w:jc w:val="center"/>
                        <w:textAlignment w:val="baseline"/>
                      </w:pPr>
                      <w:r>
                        <w:rPr>
                          <w:rFonts w:ascii="Microsoft JhengHei UI" w:eastAsia="Microsoft JhengHei UI" w:hAnsi="Microsoft JhengHei UI" w:cs="+mn-cs" w:hint="eastAsia"/>
                          <w:b/>
                          <w:bCs/>
                          <w:color w:val="000000"/>
                          <w:kern w:val="24"/>
                          <w:sz w:val="28"/>
                          <w:szCs w:val="28"/>
                        </w:rPr>
                        <w:t xml:space="preserve">Μ.Ο. μείωσης τζίρου: </w:t>
                      </w:r>
                      <w:r>
                        <w:rPr>
                          <w:rFonts w:ascii="Microsoft JhengHei UI" w:eastAsia="Microsoft JhengHei UI" w:hAnsi="Microsoft JhengHei UI" w:cs="+mn-cs" w:hint="eastAsia"/>
                          <w:b/>
                          <w:bCs/>
                          <w:color w:val="000000"/>
                          <w:kern w:val="24"/>
                          <w:sz w:val="32"/>
                          <w:szCs w:val="32"/>
                        </w:rPr>
                        <w:t>47,8%</w:t>
                      </w:r>
                    </w:p>
                  </w:txbxContent>
                </v:textbox>
              </v:shape>
            </w:pict>
          </mc:Fallback>
        </mc:AlternateContent>
      </w:r>
      <w:r w:rsidRPr="00E36734">
        <w:rPr>
          <w:rFonts w:ascii="Times New Roman" w:hAnsi="Times New Roman" w:cs="Times New Roman"/>
          <w:noProof/>
          <w:sz w:val="24"/>
          <w:szCs w:val="24"/>
          <w:lang w:eastAsia="el-GR"/>
        </w:rPr>
        <w:drawing>
          <wp:inline distT="0" distB="0" distL="0" distR="0" wp14:anchorId="563832C3" wp14:editId="45003F60">
            <wp:extent cx="6454140" cy="3040380"/>
            <wp:effectExtent l="0" t="0" r="22860" b="26670"/>
            <wp:docPr id="26" name="Γράφημα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E7A59B" w14:textId="77777777" w:rsidR="00C07136" w:rsidRPr="00E36734" w:rsidRDefault="00C07136" w:rsidP="00C07136">
      <w:pPr>
        <w:spacing w:after="0" w:line="360" w:lineRule="auto"/>
        <w:jc w:val="both"/>
        <w:rPr>
          <w:rFonts w:ascii="Times New Roman" w:hAnsi="Times New Roman" w:cs="Times New Roman"/>
          <w:sz w:val="24"/>
          <w:szCs w:val="24"/>
        </w:rPr>
      </w:pPr>
    </w:p>
    <w:p w14:paraId="5AA373B7" w14:textId="16F7C771" w:rsidR="00876EEE" w:rsidRPr="00E36734" w:rsidRDefault="00876EEE" w:rsidP="00876EEE">
      <w:pPr>
        <w:spacing w:after="0" w:line="360" w:lineRule="auto"/>
        <w:jc w:val="both"/>
        <w:rPr>
          <w:rFonts w:ascii="Times New Roman" w:hAnsi="Times New Roman" w:cs="Times New Roman"/>
          <w:noProof/>
          <w:sz w:val="24"/>
          <w:szCs w:val="24"/>
          <w:lang w:eastAsia="el-GR"/>
        </w:rPr>
      </w:pPr>
      <w:r w:rsidRPr="00E36734">
        <w:rPr>
          <w:rFonts w:ascii="Times New Roman" w:hAnsi="Times New Roman" w:cs="Times New Roman"/>
          <w:noProof/>
          <w:sz w:val="24"/>
          <w:szCs w:val="24"/>
          <w:lang w:eastAsia="el-GR"/>
        </w:rPr>
        <w:t>Σημαντικές διαφοροπο</w:t>
      </w:r>
      <w:r w:rsidR="004D3693" w:rsidRPr="00E36734">
        <w:rPr>
          <w:rFonts w:ascii="Times New Roman" w:hAnsi="Times New Roman" w:cs="Times New Roman"/>
          <w:noProof/>
          <w:sz w:val="24"/>
          <w:szCs w:val="24"/>
          <w:lang w:eastAsia="el-GR"/>
        </w:rPr>
        <w:t>ιή</w:t>
      </w:r>
      <w:r w:rsidRPr="00E36734">
        <w:rPr>
          <w:rFonts w:ascii="Times New Roman" w:hAnsi="Times New Roman" w:cs="Times New Roman"/>
          <w:noProof/>
          <w:sz w:val="24"/>
          <w:szCs w:val="24"/>
          <w:lang w:eastAsia="el-GR"/>
        </w:rPr>
        <w:t>σεις καταγράφονται όσον αφορ</w:t>
      </w:r>
      <w:r w:rsidR="004D3693" w:rsidRPr="00E36734">
        <w:rPr>
          <w:rFonts w:ascii="Times New Roman" w:hAnsi="Times New Roman" w:cs="Times New Roman"/>
          <w:noProof/>
          <w:sz w:val="24"/>
          <w:szCs w:val="24"/>
          <w:lang w:eastAsia="el-GR"/>
        </w:rPr>
        <w:t>ά</w:t>
      </w:r>
      <w:r w:rsidRPr="00E36734">
        <w:rPr>
          <w:rFonts w:ascii="Times New Roman" w:hAnsi="Times New Roman" w:cs="Times New Roman"/>
          <w:noProof/>
          <w:sz w:val="24"/>
          <w:szCs w:val="24"/>
          <w:lang w:eastAsia="el-GR"/>
        </w:rPr>
        <w:t xml:space="preserve"> τις επιπτ</w:t>
      </w:r>
      <w:r w:rsidR="004D3693" w:rsidRPr="00E36734">
        <w:rPr>
          <w:rFonts w:ascii="Times New Roman" w:hAnsi="Times New Roman" w:cs="Times New Roman"/>
          <w:noProof/>
          <w:sz w:val="24"/>
          <w:szCs w:val="24"/>
          <w:lang w:eastAsia="el-GR"/>
        </w:rPr>
        <w:t>ώ</w:t>
      </w:r>
      <w:r w:rsidRPr="00E36734">
        <w:rPr>
          <w:rFonts w:ascii="Times New Roman" w:hAnsi="Times New Roman" w:cs="Times New Roman"/>
          <w:noProof/>
          <w:sz w:val="24"/>
          <w:szCs w:val="24"/>
          <w:lang w:eastAsia="el-GR"/>
        </w:rPr>
        <w:t xml:space="preserve">σεις της πανδημίας στον κύκλο εργασίων ανά κατηγορία επιχείρησεων. Στο </w:t>
      </w:r>
      <w:r w:rsidR="00DB4D1C" w:rsidRPr="00E36734">
        <w:rPr>
          <w:rFonts w:ascii="Times New Roman" w:hAnsi="Times New Roman" w:cs="Times New Roman"/>
          <w:noProof/>
          <w:sz w:val="24"/>
          <w:szCs w:val="24"/>
          <w:lang w:eastAsia="el-GR"/>
        </w:rPr>
        <w:t>Πίνακα 2</w:t>
      </w:r>
      <w:r w:rsidRPr="00E36734">
        <w:rPr>
          <w:rFonts w:ascii="Times New Roman" w:hAnsi="Times New Roman" w:cs="Times New Roman"/>
          <w:noProof/>
          <w:sz w:val="24"/>
          <w:szCs w:val="24"/>
          <w:lang w:eastAsia="el-GR"/>
        </w:rPr>
        <w:t xml:space="preserve"> φαίνονται αναλυτικά οι μεταβολές που επήλθαν το Β εξάμηνο του 2020. Τις μεγαλύτερες απώλειες στον κύκλο εργασιών τους κατέγραψαν οι επιχειρήσε</w:t>
      </w:r>
      <w:r w:rsidR="00274A97" w:rsidRPr="00E36734">
        <w:rPr>
          <w:rFonts w:ascii="Times New Roman" w:hAnsi="Times New Roman" w:cs="Times New Roman"/>
          <w:noProof/>
          <w:sz w:val="24"/>
          <w:szCs w:val="24"/>
          <w:lang w:eastAsia="el-GR"/>
        </w:rPr>
        <w:t>ις</w:t>
      </w:r>
      <w:r w:rsidRPr="00E36734">
        <w:rPr>
          <w:rFonts w:ascii="Times New Roman" w:hAnsi="Times New Roman" w:cs="Times New Roman"/>
          <w:noProof/>
          <w:sz w:val="24"/>
          <w:szCs w:val="24"/>
          <w:lang w:eastAsia="el-GR"/>
        </w:rPr>
        <w:t xml:space="preserve"> στον τομέα των υπηρεσιών </w:t>
      </w:r>
      <w:r w:rsidR="00514FFC" w:rsidRPr="00E36734">
        <w:rPr>
          <w:rFonts w:ascii="Times New Roman" w:hAnsi="Times New Roman" w:cs="Times New Roman"/>
          <w:noProof/>
          <w:sz w:val="24"/>
          <w:szCs w:val="24"/>
          <w:lang w:eastAsia="el-GR"/>
        </w:rPr>
        <w:t>με μεσοσταθμική μ</w:t>
      </w:r>
      <w:r w:rsidR="004D3693" w:rsidRPr="00E36734">
        <w:rPr>
          <w:rFonts w:ascii="Times New Roman" w:hAnsi="Times New Roman" w:cs="Times New Roman"/>
          <w:noProof/>
          <w:sz w:val="24"/>
          <w:szCs w:val="24"/>
          <w:lang w:eastAsia="el-GR"/>
        </w:rPr>
        <w:t>εί</w:t>
      </w:r>
      <w:r w:rsidR="00514FFC" w:rsidRPr="00E36734">
        <w:rPr>
          <w:rFonts w:ascii="Times New Roman" w:hAnsi="Times New Roman" w:cs="Times New Roman"/>
          <w:noProof/>
          <w:sz w:val="24"/>
          <w:szCs w:val="24"/>
          <w:lang w:eastAsia="el-GR"/>
        </w:rPr>
        <w:t xml:space="preserve">ωση τζίρου 37,3%. </w:t>
      </w:r>
      <w:r w:rsidR="00274A97" w:rsidRPr="00E36734">
        <w:rPr>
          <w:rFonts w:ascii="Times New Roman" w:hAnsi="Times New Roman" w:cs="Times New Roman"/>
          <w:noProof/>
          <w:sz w:val="24"/>
          <w:szCs w:val="24"/>
          <w:lang w:eastAsia="el-GR"/>
        </w:rPr>
        <w:t>Επίσης,</w:t>
      </w:r>
      <w:r w:rsidR="00514FFC" w:rsidRPr="00E36734">
        <w:rPr>
          <w:rFonts w:ascii="Times New Roman" w:hAnsi="Times New Roman" w:cs="Times New Roman"/>
          <w:noProof/>
          <w:sz w:val="24"/>
          <w:szCs w:val="24"/>
          <w:lang w:eastAsia="el-GR"/>
        </w:rPr>
        <w:t xml:space="preserve"> </w:t>
      </w:r>
      <w:r w:rsidR="00274A97" w:rsidRPr="00E36734">
        <w:rPr>
          <w:rFonts w:ascii="Times New Roman" w:hAnsi="Times New Roman" w:cs="Times New Roman"/>
          <w:noProof/>
          <w:sz w:val="24"/>
          <w:szCs w:val="24"/>
          <w:lang w:eastAsia="el-GR"/>
        </w:rPr>
        <w:t xml:space="preserve">μεγάλες μειώσεις στον </w:t>
      </w:r>
      <w:r w:rsidR="00B800A3" w:rsidRPr="00E36734">
        <w:rPr>
          <w:rFonts w:ascii="Times New Roman" w:hAnsi="Times New Roman" w:cs="Times New Roman"/>
          <w:noProof/>
          <w:sz w:val="24"/>
          <w:szCs w:val="24"/>
          <w:lang w:eastAsia="el-GR"/>
        </w:rPr>
        <w:t xml:space="preserve">κύκλο εργασιών </w:t>
      </w:r>
      <w:r w:rsidR="00274A97" w:rsidRPr="00E36734">
        <w:rPr>
          <w:rFonts w:ascii="Times New Roman" w:hAnsi="Times New Roman" w:cs="Times New Roman"/>
          <w:noProof/>
          <w:sz w:val="24"/>
          <w:szCs w:val="24"/>
          <w:lang w:eastAsia="el-GR"/>
        </w:rPr>
        <w:t xml:space="preserve">το Β εξάμηνο του 2020 κατέγραψαν </w:t>
      </w:r>
      <w:r w:rsidR="00514FFC" w:rsidRPr="00E36734">
        <w:rPr>
          <w:rFonts w:ascii="Times New Roman" w:hAnsi="Times New Roman" w:cs="Times New Roman"/>
          <w:noProof/>
          <w:sz w:val="24"/>
          <w:szCs w:val="24"/>
          <w:lang w:eastAsia="el-GR"/>
        </w:rPr>
        <w:t>οι επιχειρήσεις που δραστηριοποιο</w:t>
      </w:r>
      <w:r w:rsidR="00655A77" w:rsidRPr="00E36734">
        <w:rPr>
          <w:rFonts w:ascii="Times New Roman" w:hAnsi="Times New Roman" w:cs="Times New Roman"/>
          <w:noProof/>
          <w:sz w:val="24"/>
          <w:szCs w:val="24"/>
          <w:lang w:eastAsia="el-GR"/>
        </w:rPr>
        <w:t>ύ</w:t>
      </w:r>
      <w:r w:rsidR="00514FFC" w:rsidRPr="00E36734">
        <w:rPr>
          <w:rFonts w:ascii="Times New Roman" w:hAnsi="Times New Roman" w:cs="Times New Roman"/>
          <w:noProof/>
          <w:sz w:val="24"/>
          <w:szCs w:val="24"/>
          <w:lang w:eastAsia="el-GR"/>
        </w:rPr>
        <w:t xml:space="preserve">νται στην γεωγραφική περιοχή Νησιά Αιγαίου και Κρήτης </w:t>
      </w:r>
      <w:r w:rsidR="00274A97" w:rsidRPr="00E36734">
        <w:rPr>
          <w:rFonts w:ascii="Times New Roman" w:hAnsi="Times New Roman" w:cs="Times New Roman"/>
          <w:noProof/>
          <w:sz w:val="24"/>
          <w:szCs w:val="24"/>
          <w:lang w:eastAsia="el-GR"/>
        </w:rPr>
        <w:t>με μεσοσταθμική μ</w:t>
      </w:r>
      <w:r w:rsidR="004D3693" w:rsidRPr="00E36734">
        <w:rPr>
          <w:rFonts w:ascii="Times New Roman" w:hAnsi="Times New Roman" w:cs="Times New Roman"/>
          <w:noProof/>
          <w:sz w:val="24"/>
          <w:szCs w:val="24"/>
          <w:lang w:eastAsia="el-GR"/>
        </w:rPr>
        <w:t>εί</w:t>
      </w:r>
      <w:r w:rsidR="00274A97" w:rsidRPr="00E36734">
        <w:rPr>
          <w:rFonts w:ascii="Times New Roman" w:hAnsi="Times New Roman" w:cs="Times New Roman"/>
          <w:noProof/>
          <w:sz w:val="24"/>
          <w:szCs w:val="24"/>
          <w:lang w:eastAsia="el-GR"/>
        </w:rPr>
        <w:t xml:space="preserve">ωση τζίρου </w:t>
      </w:r>
      <w:r w:rsidR="00514FFC" w:rsidRPr="00E36734">
        <w:rPr>
          <w:rFonts w:ascii="Times New Roman" w:hAnsi="Times New Roman" w:cs="Times New Roman"/>
          <w:noProof/>
          <w:sz w:val="24"/>
          <w:szCs w:val="24"/>
          <w:lang w:eastAsia="el-GR"/>
        </w:rPr>
        <w:t xml:space="preserve">39,9%, οι επιχειρήσεις με ετήσιο τζίρο </w:t>
      </w:r>
      <w:r w:rsidR="00B800A3" w:rsidRPr="00E36734">
        <w:rPr>
          <w:rFonts w:ascii="Times New Roman" w:hAnsi="Times New Roman" w:cs="Times New Roman"/>
          <w:noProof/>
          <w:sz w:val="24"/>
          <w:szCs w:val="24"/>
          <w:lang w:eastAsia="el-GR"/>
        </w:rPr>
        <w:t>κάτω από</w:t>
      </w:r>
      <w:r w:rsidR="00514FFC" w:rsidRPr="00E36734">
        <w:rPr>
          <w:rFonts w:ascii="Times New Roman" w:hAnsi="Times New Roman" w:cs="Times New Roman"/>
          <w:noProof/>
          <w:sz w:val="24"/>
          <w:szCs w:val="24"/>
          <w:lang w:eastAsia="el-GR"/>
        </w:rPr>
        <w:t xml:space="preserve"> 50.000 € </w:t>
      </w:r>
      <w:r w:rsidR="00274A97" w:rsidRPr="00E36734">
        <w:rPr>
          <w:rFonts w:ascii="Times New Roman" w:hAnsi="Times New Roman" w:cs="Times New Roman"/>
          <w:noProof/>
          <w:sz w:val="24"/>
          <w:szCs w:val="24"/>
          <w:lang w:eastAsia="el-GR"/>
        </w:rPr>
        <w:t xml:space="preserve">με μεσοσταθμική μείωση τζίρου </w:t>
      </w:r>
      <w:r w:rsidR="00514FFC" w:rsidRPr="00E36734">
        <w:rPr>
          <w:rFonts w:ascii="Times New Roman" w:hAnsi="Times New Roman" w:cs="Times New Roman"/>
          <w:noProof/>
          <w:sz w:val="24"/>
          <w:szCs w:val="24"/>
          <w:lang w:eastAsia="el-GR"/>
        </w:rPr>
        <w:t xml:space="preserve">42,2%, οι επιχειρήσεις χωρίς προσωπικό </w:t>
      </w:r>
      <w:r w:rsidR="00274A97" w:rsidRPr="00E36734">
        <w:rPr>
          <w:rFonts w:ascii="Times New Roman" w:hAnsi="Times New Roman" w:cs="Times New Roman"/>
          <w:noProof/>
          <w:sz w:val="24"/>
          <w:szCs w:val="24"/>
          <w:lang w:eastAsia="el-GR"/>
        </w:rPr>
        <w:t xml:space="preserve">με μεσοσταθμική μείωση τζίρου </w:t>
      </w:r>
      <w:r w:rsidR="00514FFC" w:rsidRPr="00E36734">
        <w:rPr>
          <w:rFonts w:ascii="Times New Roman" w:hAnsi="Times New Roman" w:cs="Times New Roman"/>
          <w:noProof/>
          <w:sz w:val="24"/>
          <w:szCs w:val="24"/>
          <w:lang w:eastAsia="el-GR"/>
        </w:rPr>
        <w:t xml:space="preserve">41,4%, </w:t>
      </w:r>
      <w:bookmarkStart w:id="8" w:name="_Hlk68245928"/>
      <w:r w:rsidR="00514FFC" w:rsidRPr="00E36734">
        <w:rPr>
          <w:rFonts w:ascii="Times New Roman" w:hAnsi="Times New Roman" w:cs="Times New Roman"/>
          <w:noProof/>
          <w:sz w:val="24"/>
          <w:szCs w:val="24"/>
          <w:lang w:eastAsia="el-GR"/>
        </w:rPr>
        <w:t>οι επιχειρήσεις που ανέστειλαν την λειτουργία τους με κρατική εντολή</w:t>
      </w:r>
      <w:r w:rsidR="00274A97" w:rsidRPr="00E36734">
        <w:rPr>
          <w:rFonts w:ascii="Times New Roman" w:hAnsi="Times New Roman" w:cs="Times New Roman"/>
          <w:noProof/>
          <w:sz w:val="24"/>
          <w:szCs w:val="24"/>
          <w:lang w:eastAsia="el-GR"/>
        </w:rPr>
        <w:t xml:space="preserve"> με μεσοσταθμική μείωση τζίρου</w:t>
      </w:r>
      <w:r w:rsidR="00514FFC" w:rsidRPr="00E36734">
        <w:rPr>
          <w:rFonts w:ascii="Times New Roman" w:hAnsi="Times New Roman" w:cs="Times New Roman"/>
          <w:noProof/>
          <w:sz w:val="24"/>
          <w:szCs w:val="24"/>
          <w:lang w:eastAsia="el-GR"/>
        </w:rPr>
        <w:t xml:space="preserve"> 39,3% και οι επιχειρήσεις εστίασης</w:t>
      </w:r>
      <w:r w:rsidR="00274A97" w:rsidRPr="00E36734">
        <w:rPr>
          <w:rFonts w:ascii="Times New Roman" w:hAnsi="Times New Roman" w:cs="Times New Roman"/>
          <w:noProof/>
          <w:sz w:val="24"/>
          <w:szCs w:val="24"/>
          <w:lang w:eastAsia="el-GR"/>
        </w:rPr>
        <w:t xml:space="preserve"> με μεσοσταθμική μείωση τζίρου</w:t>
      </w:r>
      <w:r w:rsidR="00514FFC" w:rsidRPr="00E36734">
        <w:rPr>
          <w:rFonts w:ascii="Times New Roman" w:hAnsi="Times New Roman" w:cs="Times New Roman"/>
          <w:noProof/>
          <w:sz w:val="24"/>
          <w:szCs w:val="24"/>
          <w:lang w:eastAsia="el-GR"/>
        </w:rPr>
        <w:t xml:space="preserve"> 44,2%</w:t>
      </w:r>
      <w:bookmarkEnd w:id="8"/>
      <w:r w:rsidR="00514FFC" w:rsidRPr="00E36734">
        <w:rPr>
          <w:rFonts w:ascii="Times New Roman" w:hAnsi="Times New Roman" w:cs="Times New Roman"/>
          <w:noProof/>
          <w:sz w:val="24"/>
          <w:szCs w:val="24"/>
          <w:lang w:eastAsia="el-GR"/>
        </w:rPr>
        <w:t>. Από την άλλη μεριά τις μικρότερες απώλειες κατέγραψαν οι μεγαλύτερες με βάση τ</w:t>
      </w:r>
      <w:r w:rsidR="00B800A3" w:rsidRPr="00E36734">
        <w:rPr>
          <w:rFonts w:ascii="Times New Roman" w:hAnsi="Times New Roman" w:cs="Times New Roman"/>
          <w:noProof/>
          <w:sz w:val="24"/>
          <w:szCs w:val="24"/>
          <w:lang w:eastAsia="el-GR"/>
        </w:rPr>
        <w:t>ο</w:t>
      </w:r>
      <w:r w:rsidR="00514FFC" w:rsidRPr="00E36734">
        <w:rPr>
          <w:rFonts w:ascii="Times New Roman" w:hAnsi="Times New Roman" w:cs="Times New Roman"/>
          <w:noProof/>
          <w:sz w:val="24"/>
          <w:szCs w:val="24"/>
          <w:lang w:eastAsia="el-GR"/>
        </w:rPr>
        <w:t xml:space="preserve"> κύκλο εργασιών και τον αριθμό εργαζομένων επιχε</w:t>
      </w:r>
      <w:r w:rsidR="004D3693" w:rsidRPr="00E36734">
        <w:rPr>
          <w:rFonts w:ascii="Times New Roman" w:hAnsi="Times New Roman" w:cs="Times New Roman"/>
          <w:noProof/>
          <w:sz w:val="24"/>
          <w:szCs w:val="24"/>
          <w:lang w:eastAsia="el-GR"/>
        </w:rPr>
        <w:t>ι</w:t>
      </w:r>
      <w:r w:rsidR="00514FFC" w:rsidRPr="00E36734">
        <w:rPr>
          <w:rFonts w:ascii="Times New Roman" w:hAnsi="Times New Roman" w:cs="Times New Roman"/>
          <w:noProof/>
          <w:sz w:val="24"/>
          <w:szCs w:val="24"/>
          <w:lang w:eastAsia="el-GR"/>
        </w:rPr>
        <w:t>ρ</w:t>
      </w:r>
      <w:r w:rsidR="004D3693" w:rsidRPr="00E36734">
        <w:rPr>
          <w:rFonts w:ascii="Times New Roman" w:hAnsi="Times New Roman" w:cs="Times New Roman"/>
          <w:noProof/>
          <w:sz w:val="24"/>
          <w:szCs w:val="24"/>
          <w:lang w:eastAsia="el-GR"/>
        </w:rPr>
        <w:t>ή</w:t>
      </w:r>
      <w:r w:rsidR="00514FFC" w:rsidRPr="00E36734">
        <w:rPr>
          <w:rFonts w:ascii="Times New Roman" w:hAnsi="Times New Roman" w:cs="Times New Roman"/>
          <w:noProof/>
          <w:sz w:val="24"/>
          <w:szCs w:val="24"/>
          <w:lang w:eastAsia="el-GR"/>
        </w:rPr>
        <w:t xml:space="preserve">σεις καθώς και εκείνες που δεν </w:t>
      </w:r>
      <w:r w:rsidR="004D3693" w:rsidRPr="00E36734">
        <w:rPr>
          <w:rFonts w:ascii="Times New Roman" w:hAnsi="Times New Roman" w:cs="Times New Roman"/>
          <w:noProof/>
          <w:sz w:val="24"/>
          <w:szCs w:val="24"/>
          <w:lang w:eastAsia="el-GR"/>
        </w:rPr>
        <w:t>α</w:t>
      </w:r>
      <w:r w:rsidR="00514FFC" w:rsidRPr="00E36734">
        <w:rPr>
          <w:rFonts w:ascii="Times New Roman" w:hAnsi="Times New Roman" w:cs="Times New Roman"/>
          <w:noProof/>
          <w:sz w:val="24"/>
          <w:szCs w:val="24"/>
          <w:lang w:eastAsia="el-GR"/>
        </w:rPr>
        <w:t>ν</w:t>
      </w:r>
      <w:r w:rsidR="004D3693" w:rsidRPr="00E36734">
        <w:rPr>
          <w:rFonts w:ascii="Times New Roman" w:hAnsi="Times New Roman" w:cs="Times New Roman"/>
          <w:noProof/>
          <w:sz w:val="24"/>
          <w:szCs w:val="24"/>
          <w:lang w:eastAsia="el-GR"/>
        </w:rPr>
        <w:t>ή</w:t>
      </w:r>
      <w:r w:rsidR="00514FFC" w:rsidRPr="00E36734">
        <w:rPr>
          <w:rFonts w:ascii="Times New Roman" w:hAnsi="Times New Roman" w:cs="Times New Roman"/>
          <w:noProof/>
          <w:sz w:val="24"/>
          <w:szCs w:val="24"/>
          <w:lang w:eastAsia="el-GR"/>
        </w:rPr>
        <w:t>καν ο</w:t>
      </w:r>
      <w:r w:rsidR="00655A77" w:rsidRPr="00E36734">
        <w:rPr>
          <w:rFonts w:ascii="Times New Roman" w:hAnsi="Times New Roman" w:cs="Times New Roman"/>
          <w:noProof/>
          <w:sz w:val="24"/>
          <w:szCs w:val="24"/>
          <w:lang w:eastAsia="el-GR"/>
        </w:rPr>
        <w:t>ύ</w:t>
      </w:r>
      <w:r w:rsidR="00514FFC" w:rsidRPr="00E36734">
        <w:rPr>
          <w:rFonts w:ascii="Times New Roman" w:hAnsi="Times New Roman" w:cs="Times New Roman"/>
          <w:noProof/>
          <w:sz w:val="24"/>
          <w:szCs w:val="24"/>
          <w:lang w:eastAsia="el-GR"/>
        </w:rPr>
        <w:t>τε σε αυτές που αν</w:t>
      </w:r>
      <w:r w:rsidR="00655A77" w:rsidRPr="00E36734">
        <w:rPr>
          <w:rFonts w:ascii="Times New Roman" w:hAnsi="Times New Roman" w:cs="Times New Roman"/>
          <w:noProof/>
          <w:sz w:val="24"/>
          <w:szCs w:val="24"/>
          <w:lang w:eastAsia="el-GR"/>
        </w:rPr>
        <w:t>έ</w:t>
      </w:r>
      <w:r w:rsidR="00514FFC" w:rsidRPr="00E36734">
        <w:rPr>
          <w:rFonts w:ascii="Times New Roman" w:hAnsi="Times New Roman" w:cs="Times New Roman"/>
          <w:noProof/>
          <w:sz w:val="24"/>
          <w:szCs w:val="24"/>
          <w:lang w:eastAsia="el-GR"/>
        </w:rPr>
        <w:t>στειλαν την λειτουργία τους με κρατική εντολή ο</w:t>
      </w:r>
      <w:r w:rsidR="00655A77" w:rsidRPr="00E36734">
        <w:rPr>
          <w:rFonts w:ascii="Times New Roman" w:hAnsi="Times New Roman" w:cs="Times New Roman"/>
          <w:noProof/>
          <w:sz w:val="24"/>
          <w:szCs w:val="24"/>
          <w:lang w:eastAsia="el-GR"/>
        </w:rPr>
        <w:t>ύ</w:t>
      </w:r>
      <w:r w:rsidR="00514FFC" w:rsidRPr="00E36734">
        <w:rPr>
          <w:rFonts w:ascii="Times New Roman" w:hAnsi="Times New Roman" w:cs="Times New Roman"/>
          <w:noProof/>
          <w:sz w:val="24"/>
          <w:szCs w:val="24"/>
          <w:lang w:eastAsia="el-GR"/>
        </w:rPr>
        <w:t xml:space="preserve">τε και </w:t>
      </w:r>
      <w:r w:rsidR="00274A97" w:rsidRPr="00E36734">
        <w:rPr>
          <w:rFonts w:ascii="Times New Roman" w:hAnsi="Times New Roman" w:cs="Times New Roman"/>
          <w:noProof/>
          <w:sz w:val="24"/>
          <w:szCs w:val="24"/>
          <w:lang w:eastAsia="el-GR"/>
        </w:rPr>
        <w:t>στις</w:t>
      </w:r>
      <w:r w:rsidR="00514FFC" w:rsidRPr="00E36734">
        <w:rPr>
          <w:rFonts w:ascii="Times New Roman" w:hAnsi="Times New Roman" w:cs="Times New Roman"/>
          <w:noProof/>
          <w:sz w:val="24"/>
          <w:szCs w:val="24"/>
          <w:lang w:eastAsia="el-GR"/>
        </w:rPr>
        <w:t xml:space="preserve"> πληττόμενες. </w:t>
      </w:r>
    </w:p>
    <w:p w14:paraId="4BCC3A30" w14:textId="54F47AE8" w:rsidR="00514FFC" w:rsidRPr="00E36734" w:rsidRDefault="00514FFC" w:rsidP="00876EEE">
      <w:pPr>
        <w:spacing w:after="0" w:line="360" w:lineRule="auto"/>
        <w:jc w:val="both"/>
        <w:rPr>
          <w:rFonts w:ascii="Times New Roman" w:hAnsi="Times New Roman" w:cs="Times New Roman"/>
          <w:noProof/>
          <w:sz w:val="24"/>
          <w:szCs w:val="24"/>
          <w:lang w:eastAsia="el-GR"/>
        </w:rPr>
      </w:pPr>
      <w:r w:rsidRPr="00E36734">
        <w:rPr>
          <w:rFonts w:ascii="Times New Roman" w:hAnsi="Times New Roman" w:cs="Times New Roman"/>
          <w:noProof/>
          <w:sz w:val="24"/>
          <w:szCs w:val="24"/>
          <w:lang w:eastAsia="el-GR"/>
        </w:rPr>
        <w:t>Θα πρ</w:t>
      </w:r>
      <w:r w:rsidR="004D3693" w:rsidRPr="00E36734">
        <w:rPr>
          <w:rFonts w:ascii="Times New Roman" w:hAnsi="Times New Roman" w:cs="Times New Roman"/>
          <w:noProof/>
          <w:sz w:val="24"/>
          <w:szCs w:val="24"/>
          <w:lang w:eastAsia="el-GR"/>
        </w:rPr>
        <w:t>έ</w:t>
      </w:r>
      <w:r w:rsidRPr="00E36734">
        <w:rPr>
          <w:rFonts w:ascii="Times New Roman" w:hAnsi="Times New Roman" w:cs="Times New Roman"/>
          <w:noProof/>
          <w:sz w:val="24"/>
          <w:szCs w:val="24"/>
          <w:lang w:eastAsia="el-GR"/>
        </w:rPr>
        <w:t>πε</w:t>
      </w:r>
      <w:r w:rsidR="004D3693" w:rsidRPr="00E36734">
        <w:rPr>
          <w:rFonts w:ascii="Times New Roman" w:hAnsi="Times New Roman" w:cs="Times New Roman"/>
          <w:noProof/>
          <w:sz w:val="24"/>
          <w:szCs w:val="24"/>
          <w:lang w:eastAsia="el-GR"/>
        </w:rPr>
        <w:t>ι</w:t>
      </w:r>
      <w:r w:rsidRPr="00E36734">
        <w:rPr>
          <w:rFonts w:ascii="Times New Roman" w:hAnsi="Times New Roman" w:cs="Times New Roman"/>
          <w:noProof/>
          <w:sz w:val="24"/>
          <w:szCs w:val="24"/>
          <w:lang w:eastAsia="el-GR"/>
        </w:rPr>
        <w:t xml:space="preserve"> να σημειωθεί ότι τα παραπάνω ποσοστά αφορο</w:t>
      </w:r>
      <w:r w:rsidR="00547F34" w:rsidRPr="00E36734">
        <w:rPr>
          <w:rFonts w:ascii="Times New Roman" w:hAnsi="Times New Roman" w:cs="Times New Roman"/>
          <w:noProof/>
          <w:sz w:val="24"/>
          <w:szCs w:val="24"/>
          <w:lang w:eastAsia="el-GR"/>
        </w:rPr>
        <w:t>ύ</w:t>
      </w:r>
      <w:r w:rsidRPr="00E36734">
        <w:rPr>
          <w:rFonts w:ascii="Times New Roman" w:hAnsi="Times New Roman" w:cs="Times New Roman"/>
          <w:noProof/>
          <w:sz w:val="24"/>
          <w:szCs w:val="24"/>
          <w:lang w:eastAsia="el-GR"/>
        </w:rPr>
        <w:t>ν το μέσο όρο μείωσης του κύκλου εργασ</w:t>
      </w:r>
      <w:r w:rsidR="004D3693" w:rsidRPr="00E36734">
        <w:rPr>
          <w:rFonts w:ascii="Times New Roman" w:hAnsi="Times New Roman" w:cs="Times New Roman"/>
          <w:noProof/>
          <w:sz w:val="24"/>
          <w:szCs w:val="24"/>
          <w:lang w:eastAsia="el-GR"/>
        </w:rPr>
        <w:t>ιώ</w:t>
      </w:r>
      <w:r w:rsidRPr="00E36734">
        <w:rPr>
          <w:rFonts w:ascii="Times New Roman" w:hAnsi="Times New Roman" w:cs="Times New Roman"/>
          <w:noProof/>
          <w:sz w:val="24"/>
          <w:szCs w:val="24"/>
          <w:lang w:eastAsia="el-GR"/>
        </w:rPr>
        <w:t>ν στο σύνολο των αν</w:t>
      </w:r>
      <w:r w:rsidR="00547F34" w:rsidRPr="00E36734">
        <w:rPr>
          <w:rFonts w:ascii="Times New Roman" w:hAnsi="Times New Roman" w:cs="Times New Roman"/>
          <w:noProof/>
          <w:sz w:val="24"/>
          <w:szCs w:val="24"/>
          <w:lang w:eastAsia="el-GR"/>
        </w:rPr>
        <w:t>ά</w:t>
      </w:r>
      <w:r w:rsidRPr="00E36734">
        <w:rPr>
          <w:rFonts w:ascii="Times New Roman" w:hAnsi="Times New Roman" w:cs="Times New Roman"/>
          <w:noProof/>
          <w:sz w:val="24"/>
          <w:szCs w:val="24"/>
          <w:lang w:eastAsia="el-GR"/>
        </w:rPr>
        <w:t xml:space="preserve"> κατ</w:t>
      </w:r>
      <w:r w:rsidR="004D3693" w:rsidRPr="00E36734">
        <w:rPr>
          <w:rFonts w:ascii="Times New Roman" w:hAnsi="Times New Roman" w:cs="Times New Roman"/>
          <w:noProof/>
          <w:sz w:val="24"/>
          <w:szCs w:val="24"/>
          <w:lang w:eastAsia="el-GR"/>
        </w:rPr>
        <w:t>η</w:t>
      </w:r>
      <w:r w:rsidRPr="00E36734">
        <w:rPr>
          <w:rFonts w:ascii="Times New Roman" w:hAnsi="Times New Roman" w:cs="Times New Roman"/>
          <w:noProof/>
          <w:sz w:val="24"/>
          <w:szCs w:val="24"/>
          <w:lang w:eastAsia="el-GR"/>
        </w:rPr>
        <w:t>γορία επιχειρήσεων. Με βάση αυτ</w:t>
      </w:r>
      <w:r w:rsidR="00274A97" w:rsidRPr="00E36734">
        <w:rPr>
          <w:rFonts w:ascii="Times New Roman" w:hAnsi="Times New Roman" w:cs="Times New Roman"/>
          <w:noProof/>
          <w:sz w:val="24"/>
          <w:szCs w:val="24"/>
          <w:lang w:eastAsia="el-GR"/>
        </w:rPr>
        <w:t>ά</w:t>
      </w:r>
      <w:r w:rsidRPr="00E36734">
        <w:rPr>
          <w:rFonts w:ascii="Times New Roman" w:hAnsi="Times New Roman" w:cs="Times New Roman"/>
          <w:noProof/>
          <w:sz w:val="24"/>
          <w:szCs w:val="24"/>
          <w:lang w:eastAsia="el-GR"/>
        </w:rPr>
        <w:t xml:space="preserve"> εάν εξετάσουμε τα ποσοστά </w:t>
      </w:r>
      <w:r w:rsidR="004F497A" w:rsidRPr="00E36734">
        <w:rPr>
          <w:rFonts w:ascii="Times New Roman" w:hAnsi="Times New Roman" w:cs="Times New Roman"/>
          <w:noProof/>
          <w:sz w:val="24"/>
          <w:szCs w:val="24"/>
          <w:lang w:eastAsia="el-GR"/>
        </w:rPr>
        <w:t>πτώσης</w:t>
      </w:r>
      <w:r w:rsidRPr="00E36734">
        <w:rPr>
          <w:rFonts w:ascii="Times New Roman" w:hAnsi="Times New Roman" w:cs="Times New Roman"/>
          <w:noProof/>
          <w:sz w:val="24"/>
          <w:szCs w:val="24"/>
          <w:lang w:eastAsia="el-GR"/>
        </w:rPr>
        <w:t xml:space="preserve"> του τζίρου των επιχειρήσεων εκείνων που δήλωσαν</w:t>
      </w:r>
      <w:r w:rsidR="004F497A" w:rsidRPr="00E36734">
        <w:rPr>
          <w:rFonts w:ascii="Times New Roman" w:hAnsi="Times New Roman" w:cs="Times New Roman"/>
          <w:noProof/>
          <w:sz w:val="24"/>
          <w:szCs w:val="24"/>
          <w:lang w:eastAsia="el-GR"/>
        </w:rPr>
        <w:t xml:space="preserve"> μείωση του κύκλου εργασιών τους το Β εξάμηνο, δηλαδή για τις 7 στις 10 επιχειρήσεις, παρατηρούνται επίσης σημαντικές διαφοροποι</w:t>
      </w:r>
      <w:r w:rsidR="004D3693" w:rsidRPr="00E36734">
        <w:rPr>
          <w:rFonts w:ascii="Times New Roman" w:hAnsi="Times New Roman" w:cs="Times New Roman"/>
          <w:noProof/>
          <w:sz w:val="24"/>
          <w:szCs w:val="24"/>
          <w:lang w:eastAsia="el-GR"/>
        </w:rPr>
        <w:t>ή</w:t>
      </w:r>
      <w:r w:rsidR="004F497A" w:rsidRPr="00E36734">
        <w:rPr>
          <w:rFonts w:ascii="Times New Roman" w:hAnsi="Times New Roman" w:cs="Times New Roman"/>
          <w:noProof/>
          <w:sz w:val="24"/>
          <w:szCs w:val="24"/>
          <w:lang w:eastAsia="el-GR"/>
        </w:rPr>
        <w:t>σεις με τη πλέον εμφανή να καταγράφεται στις επιχειρήσεις εστ</w:t>
      </w:r>
      <w:r w:rsidR="00547F34" w:rsidRPr="00E36734">
        <w:rPr>
          <w:rFonts w:ascii="Times New Roman" w:hAnsi="Times New Roman" w:cs="Times New Roman"/>
          <w:noProof/>
          <w:sz w:val="24"/>
          <w:szCs w:val="24"/>
          <w:lang w:eastAsia="el-GR"/>
        </w:rPr>
        <w:t>ί</w:t>
      </w:r>
      <w:r w:rsidR="004F497A" w:rsidRPr="00E36734">
        <w:rPr>
          <w:rFonts w:ascii="Times New Roman" w:hAnsi="Times New Roman" w:cs="Times New Roman"/>
          <w:noProof/>
          <w:sz w:val="24"/>
          <w:szCs w:val="24"/>
          <w:lang w:eastAsia="el-GR"/>
        </w:rPr>
        <w:t xml:space="preserve">ασης με μεσοσταθμική μείωση του τζίρου της τάξης του 59,4%, η οποία μάλιστα αφορά τις σχεδόν 8 στις 10 (77,9%) επιχειρήσεις του κλάδου. </w:t>
      </w:r>
    </w:p>
    <w:p w14:paraId="35371A2F" w14:textId="1DF44C6D" w:rsidR="00675005" w:rsidRPr="00E36734" w:rsidRDefault="00675005" w:rsidP="00761263">
      <w:pPr>
        <w:spacing w:after="0" w:line="360" w:lineRule="auto"/>
        <w:jc w:val="both"/>
        <w:rPr>
          <w:rFonts w:ascii="Times New Roman" w:hAnsi="Times New Roman" w:cs="Times New Roman"/>
          <w:sz w:val="24"/>
          <w:szCs w:val="24"/>
        </w:rPr>
      </w:pPr>
    </w:p>
    <w:p w14:paraId="4024B2C9" w14:textId="77777777" w:rsidR="00675005" w:rsidRPr="00E36734" w:rsidRDefault="00675005" w:rsidP="00761263">
      <w:pPr>
        <w:spacing w:after="0" w:line="360" w:lineRule="auto"/>
        <w:jc w:val="both"/>
        <w:rPr>
          <w:rFonts w:ascii="Times New Roman" w:hAnsi="Times New Roman" w:cs="Times New Roman"/>
          <w:sz w:val="24"/>
          <w:szCs w:val="24"/>
        </w:rPr>
      </w:pPr>
    </w:p>
    <w:p w14:paraId="3FE5B51A" w14:textId="6D6AC917" w:rsidR="00A9257F" w:rsidRPr="00E36734" w:rsidRDefault="00DB4D1C" w:rsidP="00906C6F">
      <w:pPr>
        <w:spacing w:after="0" w:line="360" w:lineRule="auto"/>
        <w:jc w:val="center"/>
        <w:rPr>
          <w:rFonts w:ascii="Times New Roman" w:hAnsi="Times New Roman" w:cs="Times New Roman"/>
          <w:b/>
          <w:sz w:val="24"/>
          <w:szCs w:val="24"/>
        </w:rPr>
      </w:pPr>
      <w:r w:rsidRPr="00E36734">
        <w:rPr>
          <w:rFonts w:ascii="Times New Roman" w:hAnsi="Times New Roman" w:cs="Times New Roman"/>
          <w:b/>
          <w:sz w:val="24"/>
          <w:szCs w:val="24"/>
        </w:rPr>
        <w:t>Πίνακας 2</w:t>
      </w:r>
    </w:p>
    <w:tbl>
      <w:tblPr>
        <w:tblW w:w="5000" w:type="pct"/>
        <w:tblLook w:val="04A0" w:firstRow="1" w:lastRow="0" w:firstColumn="1" w:lastColumn="0" w:noHBand="0" w:noVBand="1"/>
      </w:tblPr>
      <w:tblGrid>
        <w:gridCol w:w="1459"/>
        <w:gridCol w:w="1566"/>
        <w:gridCol w:w="877"/>
        <w:gridCol w:w="932"/>
        <w:gridCol w:w="1181"/>
        <w:gridCol w:w="1576"/>
        <w:gridCol w:w="1344"/>
        <w:gridCol w:w="1629"/>
      </w:tblGrid>
      <w:tr w:rsidR="003B2986" w:rsidRPr="00E36734" w14:paraId="4F99E333" w14:textId="77777777" w:rsidTr="003B2986">
        <w:trPr>
          <w:trHeight w:val="288"/>
        </w:trPr>
        <w:tc>
          <w:tcPr>
            <w:tcW w:w="5000" w:type="pct"/>
            <w:gridSpan w:val="8"/>
            <w:tcBorders>
              <w:top w:val="single" w:sz="12" w:space="0" w:color="auto"/>
              <w:left w:val="single" w:sz="12" w:space="0" w:color="auto"/>
              <w:bottom w:val="single" w:sz="4" w:space="0" w:color="auto"/>
              <w:right w:val="single" w:sz="12" w:space="0" w:color="000000"/>
            </w:tcBorders>
            <w:shd w:val="clear" w:color="auto" w:fill="auto"/>
            <w:noWrap/>
            <w:vAlign w:val="bottom"/>
            <w:hideMark/>
          </w:tcPr>
          <w:p w14:paraId="5E6E7C0D" w14:textId="37233993" w:rsidR="003B2986" w:rsidRPr="00E36734" w:rsidRDefault="003B2986" w:rsidP="003B2986">
            <w:pPr>
              <w:spacing w:after="0" w:line="240" w:lineRule="auto"/>
              <w:jc w:val="center"/>
              <w:rPr>
                <w:rFonts w:ascii="Calibri" w:eastAsia="Times New Roman" w:hAnsi="Calibri" w:cs="Calibri"/>
                <w:color w:val="000000"/>
                <w:sz w:val="18"/>
                <w:szCs w:val="18"/>
              </w:rPr>
            </w:pPr>
            <w:r w:rsidRPr="00E36734">
              <w:rPr>
                <w:rFonts w:ascii="Calibri" w:eastAsia="Times New Roman" w:hAnsi="Calibri" w:cs="Calibri"/>
                <w:color w:val="000000"/>
                <w:sz w:val="18"/>
                <w:szCs w:val="18"/>
              </w:rPr>
              <w:t xml:space="preserve">Μεταβολές κύκλου εργασιών πολύ μικρών και μικρομεσαίων επιχειρήσεων Β εξαμήνου 2020 - </w:t>
            </w:r>
            <w:r w:rsidR="003726B2" w:rsidRPr="00E36734">
              <w:rPr>
                <w:rFonts w:ascii="Calibri" w:eastAsia="Times New Roman" w:hAnsi="Calibri" w:cs="Calibri"/>
                <w:color w:val="000000"/>
                <w:sz w:val="18"/>
                <w:szCs w:val="18"/>
              </w:rPr>
              <w:t>ανά</w:t>
            </w:r>
            <w:r w:rsidRPr="00E36734">
              <w:rPr>
                <w:rFonts w:ascii="Calibri" w:eastAsia="Times New Roman" w:hAnsi="Calibri" w:cs="Calibri"/>
                <w:color w:val="000000"/>
                <w:sz w:val="18"/>
                <w:szCs w:val="18"/>
              </w:rPr>
              <w:t xml:space="preserve"> κατηγορία-</w:t>
            </w:r>
          </w:p>
        </w:tc>
      </w:tr>
      <w:tr w:rsidR="003B2986" w:rsidRPr="00E36734" w14:paraId="1200EE34" w14:textId="77777777" w:rsidTr="003B2986">
        <w:trPr>
          <w:trHeight w:val="1056"/>
        </w:trPr>
        <w:tc>
          <w:tcPr>
            <w:tcW w:w="691" w:type="pct"/>
            <w:tcBorders>
              <w:top w:val="nil"/>
              <w:left w:val="single" w:sz="12" w:space="0" w:color="auto"/>
              <w:bottom w:val="single" w:sz="12" w:space="0" w:color="auto"/>
              <w:right w:val="single" w:sz="4" w:space="0" w:color="auto"/>
            </w:tcBorders>
            <w:shd w:val="clear" w:color="auto" w:fill="auto"/>
            <w:vAlign w:val="center"/>
            <w:hideMark/>
          </w:tcPr>
          <w:p w14:paraId="5DAE0B9E" w14:textId="77777777" w:rsidR="003B2986" w:rsidRPr="00E36734" w:rsidRDefault="003B2986" w:rsidP="003B2986">
            <w:pPr>
              <w:spacing w:after="0" w:line="240" w:lineRule="auto"/>
              <w:jc w:val="center"/>
              <w:rPr>
                <w:rFonts w:ascii="Calibri" w:eastAsia="Times New Roman" w:hAnsi="Calibri" w:cs="Calibri"/>
                <w:color w:val="000000"/>
                <w:sz w:val="16"/>
                <w:szCs w:val="16"/>
                <w:lang w:val="en-US"/>
              </w:rPr>
            </w:pPr>
            <w:r w:rsidRPr="00E36734">
              <w:rPr>
                <w:rFonts w:ascii="Calibri" w:eastAsia="Times New Roman" w:hAnsi="Calibri" w:cs="Calibri"/>
                <w:color w:val="000000"/>
                <w:sz w:val="16"/>
                <w:szCs w:val="16"/>
                <w:lang w:val="en-US"/>
              </w:rPr>
              <w:t>ΚΑΤΗΓΟΡΙΕΣ</w:t>
            </w:r>
          </w:p>
        </w:tc>
        <w:tc>
          <w:tcPr>
            <w:tcW w:w="741" w:type="pct"/>
            <w:tcBorders>
              <w:top w:val="nil"/>
              <w:left w:val="nil"/>
              <w:bottom w:val="single" w:sz="12" w:space="0" w:color="auto"/>
              <w:right w:val="single" w:sz="4" w:space="0" w:color="auto"/>
            </w:tcBorders>
            <w:shd w:val="clear" w:color="auto" w:fill="auto"/>
            <w:vAlign w:val="center"/>
            <w:hideMark/>
          </w:tcPr>
          <w:p w14:paraId="7900A268" w14:textId="0B7BF3FF" w:rsidR="003B2986" w:rsidRPr="00E36734" w:rsidRDefault="003B2986" w:rsidP="003B2986">
            <w:pPr>
              <w:spacing w:after="0" w:line="240" w:lineRule="auto"/>
              <w:jc w:val="center"/>
              <w:rPr>
                <w:rFonts w:ascii="Calibri" w:eastAsia="Times New Roman" w:hAnsi="Calibri" w:cs="Calibri"/>
                <w:color w:val="000000"/>
                <w:sz w:val="16"/>
                <w:szCs w:val="16"/>
              </w:rPr>
            </w:pPr>
            <w:r w:rsidRPr="00E36734">
              <w:rPr>
                <w:rFonts w:ascii="Calibri" w:eastAsia="Times New Roman" w:hAnsi="Calibri" w:cs="Calibri"/>
                <w:color w:val="000000"/>
                <w:sz w:val="16"/>
                <w:szCs w:val="16"/>
              </w:rPr>
              <w:t xml:space="preserve">Ο κύκλος εργασιών το Β </w:t>
            </w:r>
            <w:r w:rsidR="003726B2" w:rsidRPr="00E36734">
              <w:rPr>
                <w:rFonts w:ascii="Calibri" w:eastAsia="Times New Roman" w:hAnsi="Calibri" w:cs="Calibri"/>
                <w:color w:val="000000"/>
                <w:sz w:val="16"/>
                <w:szCs w:val="16"/>
              </w:rPr>
              <w:t>εξάμηνο</w:t>
            </w:r>
            <w:r w:rsidRPr="00E36734">
              <w:rPr>
                <w:rFonts w:ascii="Calibri" w:eastAsia="Times New Roman" w:hAnsi="Calibri" w:cs="Calibri"/>
                <w:color w:val="000000"/>
                <w:sz w:val="16"/>
                <w:szCs w:val="16"/>
              </w:rPr>
              <w:t xml:space="preserve"> του 2020</w:t>
            </w:r>
          </w:p>
        </w:tc>
        <w:tc>
          <w:tcPr>
            <w:tcW w:w="415" w:type="pct"/>
            <w:tcBorders>
              <w:top w:val="nil"/>
              <w:left w:val="nil"/>
              <w:bottom w:val="single" w:sz="12" w:space="0" w:color="auto"/>
              <w:right w:val="single" w:sz="4" w:space="0" w:color="auto"/>
            </w:tcBorders>
            <w:shd w:val="clear" w:color="auto" w:fill="auto"/>
            <w:vAlign w:val="center"/>
            <w:hideMark/>
          </w:tcPr>
          <w:p w14:paraId="28637335" w14:textId="3FD27F45" w:rsidR="003B2986" w:rsidRPr="00E36734" w:rsidRDefault="003B2986" w:rsidP="003B2986">
            <w:pPr>
              <w:spacing w:after="0" w:line="240" w:lineRule="auto"/>
              <w:jc w:val="center"/>
              <w:rPr>
                <w:rFonts w:ascii="Calibri" w:eastAsia="Times New Roman" w:hAnsi="Calibri" w:cs="Calibri"/>
                <w:color w:val="000000"/>
                <w:sz w:val="16"/>
                <w:szCs w:val="16"/>
                <w:lang w:val="en-US"/>
              </w:rPr>
            </w:pPr>
            <w:r w:rsidRPr="00E36734">
              <w:rPr>
                <w:rFonts w:ascii="Calibri" w:eastAsia="Times New Roman" w:hAnsi="Calibri" w:cs="Calibri"/>
                <w:color w:val="000000"/>
                <w:sz w:val="16"/>
                <w:szCs w:val="16"/>
                <w:lang w:val="en-US"/>
              </w:rPr>
              <w:t>Αυξ</w:t>
            </w:r>
            <w:r w:rsidRPr="00E36734">
              <w:rPr>
                <w:rFonts w:ascii="Calibri" w:eastAsia="Times New Roman" w:hAnsi="Calibri" w:cs="Calibri"/>
                <w:color w:val="000000"/>
                <w:sz w:val="16"/>
                <w:szCs w:val="16"/>
              </w:rPr>
              <w:t>ή</w:t>
            </w:r>
            <w:r w:rsidRPr="00E36734">
              <w:rPr>
                <w:rFonts w:ascii="Calibri" w:eastAsia="Times New Roman" w:hAnsi="Calibri" w:cs="Calibri"/>
                <w:color w:val="000000"/>
                <w:sz w:val="16"/>
                <w:szCs w:val="16"/>
                <w:lang w:val="en-US"/>
              </w:rPr>
              <w:t>θηκε</w:t>
            </w:r>
          </w:p>
        </w:tc>
        <w:tc>
          <w:tcPr>
            <w:tcW w:w="441" w:type="pct"/>
            <w:tcBorders>
              <w:top w:val="nil"/>
              <w:left w:val="nil"/>
              <w:bottom w:val="single" w:sz="12" w:space="0" w:color="auto"/>
              <w:right w:val="single" w:sz="4" w:space="0" w:color="auto"/>
            </w:tcBorders>
            <w:shd w:val="clear" w:color="auto" w:fill="auto"/>
            <w:vAlign w:val="center"/>
            <w:hideMark/>
          </w:tcPr>
          <w:p w14:paraId="0A4782D0" w14:textId="77777777" w:rsidR="003B2986" w:rsidRPr="00E36734" w:rsidRDefault="003B2986" w:rsidP="003B2986">
            <w:pPr>
              <w:spacing w:after="0" w:line="240" w:lineRule="auto"/>
              <w:jc w:val="center"/>
              <w:rPr>
                <w:rFonts w:ascii="Calibri" w:eastAsia="Times New Roman" w:hAnsi="Calibri" w:cs="Calibri"/>
                <w:color w:val="000000"/>
                <w:sz w:val="16"/>
                <w:szCs w:val="16"/>
                <w:lang w:val="en-US"/>
              </w:rPr>
            </w:pPr>
            <w:r w:rsidRPr="00E36734">
              <w:rPr>
                <w:rFonts w:ascii="Calibri" w:eastAsia="Times New Roman" w:hAnsi="Calibri" w:cs="Calibri"/>
                <w:color w:val="000000"/>
                <w:sz w:val="16"/>
                <w:szCs w:val="16"/>
                <w:lang w:val="en-US"/>
              </w:rPr>
              <w:t>Μειώθηκε</w:t>
            </w:r>
          </w:p>
        </w:tc>
        <w:tc>
          <w:tcPr>
            <w:tcW w:w="559" w:type="pct"/>
            <w:tcBorders>
              <w:top w:val="nil"/>
              <w:left w:val="nil"/>
              <w:bottom w:val="single" w:sz="12" w:space="0" w:color="auto"/>
              <w:right w:val="double" w:sz="6" w:space="0" w:color="auto"/>
            </w:tcBorders>
            <w:shd w:val="clear" w:color="auto" w:fill="auto"/>
            <w:vAlign w:val="center"/>
            <w:hideMark/>
          </w:tcPr>
          <w:p w14:paraId="74720EC5" w14:textId="77777777" w:rsidR="003B2986" w:rsidRPr="00E36734" w:rsidRDefault="003B2986" w:rsidP="003B2986">
            <w:pPr>
              <w:spacing w:after="0" w:line="240" w:lineRule="auto"/>
              <w:jc w:val="center"/>
              <w:rPr>
                <w:rFonts w:ascii="Calibri" w:eastAsia="Times New Roman" w:hAnsi="Calibri" w:cs="Calibri"/>
                <w:color w:val="000000"/>
                <w:sz w:val="16"/>
                <w:szCs w:val="16"/>
                <w:lang w:val="en-US"/>
              </w:rPr>
            </w:pPr>
            <w:r w:rsidRPr="00E36734">
              <w:rPr>
                <w:rFonts w:ascii="Calibri" w:eastAsia="Times New Roman" w:hAnsi="Calibri" w:cs="Calibri"/>
                <w:color w:val="000000"/>
                <w:sz w:val="16"/>
                <w:szCs w:val="16"/>
                <w:lang w:val="en-US"/>
              </w:rPr>
              <w:t>Παρέμεινε αμετάβλητος</w:t>
            </w:r>
          </w:p>
        </w:tc>
        <w:tc>
          <w:tcPr>
            <w:tcW w:w="746" w:type="pct"/>
            <w:tcBorders>
              <w:top w:val="nil"/>
              <w:left w:val="nil"/>
              <w:bottom w:val="single" w:sz="12" w:space="0" w:color="auto"/>
              <w:right w:val="single" w:sz="4" w:space="0" w:color="auto"/>
            </w:tcBorders>
            <w:shd w:val="clear" w:color="auto" w:fill="auto"/>
            <w:vAlign w:val="bottom"/>
            <w:hideMark/>
          </w:tcPr>
          <w:p w14:paraId="56AD9805" w14:textId="47836976" w:rsidR="003B2986" w:rsidRPr="00E36734" w:rsidRDefault="003B2986" w:rsidP="003B2986">
            <w:pPr>
              <w:spacing w:after="0" w:line="240" w:lineRule="auto"/>
              <w:jc w:val="center"/>
              <w:rPr>
                <w:rFonts w:ascii="Calibri" w:eastAsia="Times New Roman" w:hAnsi="Calibri" w:cs="Calibri"/>
                <w:color w:val="000000"/>
                <w:sz w:val="16"/>
                <w:szCs w:val="16"/>
              </w:rPr>
            </w:pPr>
            <w:r w:rsidRPr="00E36734">
              <w:rPr>
                <w:rFonts w:ascii="Calibri" w:eastAsia="Times New Roman" w:hAnsi="Calibri" w:cs="Calibri"/>
                <w:color w:val="000000"/>
                <w:sz w:val="16"/>
                <w:szCs w:val="16"/>
              </w:rPr>
              <w:t>Μέσος όρος αύξησης τζίρου (επιχειρήσεις που δήλωσαν πως αυξήθηκε ο τζίρος τους)</w:t>
            </w:r>
          </w:p>
        </w:tc>
        <w:tc>
          <w:tcPr>
            <w:tcW w:w="636" w:type="pct"/>
            <w:tcBorders>
              <w:top w:val="nil"/>
              <w:left w:val="nil"/>
              <w:bottom w:val="single" w:sz="12" w:space="0" w:color="auto"/>
              <w:right w:val="single" w:sz="4" w:space="0" w:color="auto"/>
            </w:tcBorders>
            <w:shd w:val="clear" w:color="auto" w:fill="auto"/>
            <w:vAlign w:val="bottom"/>
            <w:hideMark/>
          </w:tcPr>
          <w:p w14:paraId="5CADECC7" w14:textId="77777777" w:rsidR="003B2986" w:rsidRPr="00E36734" w:rsidRDefault="003B2986" w:rsidP="003B2986">
            <w:pPr>
              <w:spacing w:after="0" w:line="240" w:lineRule="auto"/>
              <w:jc w:val="center"/>
              <w:rPr>
                <w:rFonts w:ascii="Calibri" w:eastAsia="Times New Roman" w:hAnsi="Calibri" w:cs="Calibri"/>
                <w:color w:val="000000"/>
                <w:sz w:val="16"/>
                <w:szCs w:val="16"/>
              </w:rPr>
            </w:pPr>
            <w:r w:rsidRPr="00E36734">
              <w:rPr>
                <w:rFonts w:ascii="Calibri" w:eastAsia="Times New Roman" w:hAnsi="Calibri" w:cs="Calibri"/>
                <w:color w:val="000000"/>
                <w:sz w:val="16"/>
                <w:szCs w:val="16"/>
              </w:rPr>
              <w:t>Μέσος όρος μείωσης τζίρου (επιχειρήσεις που δήλωσαν πως μειώθηκε ο τζίρος τους)</w:t>
            </w:r>
          </w:p>
        </w:tc>
        <w:tc>
          <w:tcPr>
            <w:tcW w:w="771" w:type="pct"/>
            <w:tcBorders>
              <w:top w:val="nil"/>
              <w:left w:val="nil"/>
              <w:bottom w:val="single" w:sz="12" w:space="0" w:color="auto"/>
              <w:right w:val="single" w:sz="12" w:space="0" w:color="auto"/>
            </w:tcBorders>
            <w:shd w:val="clear" w:color="auto" w:fill="auto"/>
            <w:vAlign w:val="bottom"/>
            <w:hideMark/>
          </w:tcPr>
          <w:p w14:paraId="17617CE4" w14:textId="7682DE97" w:rsidR="003B2986" w:rsidRPr="00E36734" w:rsidRDefault="003B2986" w:rsidP="003B2986">
            <w:pPr>
              <w:spacing w:after="0" w:line="240" w:lineRule="auto"/>
              <w:jc w:val="center"/>
              <w:rPr>
                <w:rFonts w:ascii="Calibri" w:eastAsia="Times New Roman" w:hAnsi="Calibri" w:cs="Calibri"/>
                <w:color w:val="000000"/>
                <w:sz w:val="16"/>
                <w:szCs w:val="16"/>
              </w:rPr>
            </w:pPr>
            <w:r w:rsidRPr="00E36734">
              <w:rPr>
                <w:rFonts w:ascii="Calibri" w:eastAsia="Times New Roman" w:hAnsi="Calibri" w:cs="Calibri"/>
                <w:color w:val="000000"/>
                <w:sz w:val="16"/>
                <w:szCs w:val="16"/>
              </w:rPr>
              <w:t xml:space="preserve">Μεσοσταθμική ποσοστιαία μεταβολή τζίρου στο </w:t>
            </w:r>
            <w:r w:rsidR="003726B2" w:rsidRPr="00E36734">
              <w:rPr>
                <w:rFonts w:ascii="Calibri" w:eastAsia="Times New Roman" w:hAnsi="Calibri" w:cs="Calibri"/>
                <w:color w:val="000000"/>
                <w:sz w:val="16"/>
                <w:szCs w:val="16"/>
              </w:rPr>
              <w:t>σύνολο</w:t>
            </w:r>
            <w:r w:rsidRPr="00E36734">
              <w:rPr>
                <w:rFonts w:ascii="Calibri" w:eastAsia="Times New Roman" w:hAnsi="Calibri" w:cs="Calibri"/>
                <w:color w:val="000000"/>
                <w:sz w:val="16"/>
                <w:szCs w:val="16"/>
              </w:rPr>
              <w:t xml:space="preserve"> των επιχειρήσεων της κατηγορίας</w:t>
            </w:r>
          </w:p>
        </w:tc>
      </w:tr>
      <w:tr w:rsidR="003B2986" w:rsidRPr="00E36734" w14:paraId="6474FF5F" w14:textId="77777777" w:rsidTr="003B2986">
        <w:trPr>
          <w:trHeight w:val="300"/>
        </w:trPr>
        <w:tc>
          <w:tcPr>
            <w:tcW w:w="691" w:type="pct"/>
            <w:vMerge w:val="restart"/>
            <w:tcBorders>
              <w:top w:val="nil"/>
              <w:left w:val="single" w:sz="12" w:space="0" w:color="auto"/>
              <w:bottom w:val="single" w:sz="12" w:space="0" w:color="000000"/>
              <w:right w:val="single" w:sz="4" w:space="0" w:color="auto"/>
            </w:tcBorders>
            <w:shd w:val="clear" w:color="auto" w:fill="auto"/>
            <w:vAlign w:val="center"/>
            <w:hideMark/>
          </w:tcPr>
          <w:p w14:paraId="48BEFD48"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ΚΛΑΔΟΣ</w:t>
            </w:r>
          </w:p>
        </w:tc>
        <w:tc>
          <w:tcPr>
            <w:tcW w:w="741" w:type="pct"/>
            <w:tcBorders>
              <w:top w:val="nil"/>
              <w:left w:val="nil"/>
              <w:bottom w:val="single" w:sz="4" w:space="0" w:color="auto"/>
              <w:right w:val="single" w:sz="4" w:space="0" w:color="auto"/>
            </w:tcBorders>
            <w:shd w:val="clear" w:color="auto" w:fill="auto"/>
            <w:vAlign w:val="bottom"/>
            <w:hideMark/>
          </w:tcPr>
          <w:p w14:paraId="62079C6E" w14:textId="77777777" w:rsidR="003B2986" w:rsidRPr="00E36734" w:rsidRDefault="003B2986" w:rsidP="003B2986">
            <w:pPr>
              <w:spacing w:after="0" w:line="240" w:lineRule="auto"/>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Εμπόριο</w:t>
            </w:r>
          </w:p>
        </w:tc>
        <w:tc>
          <w:tcPr>
            <w:tcW w:w="415" w:type="pct"/>
            <w:tcBorders>
              <w:top w:val="nil"/>
              <w:left w:val="nil"/>
              <w:bottom w:val="single" w:sz="4" w:space="0" w:color="auto"/>
              <w:right w:val="single" w:sz="4" w:space="0" w:color="auto"/>
            </w:tcBorders>
            <w:shd w:val="clear" w:color="auto" w:fill="auto"/>
            <w:noWrap/>
            <w:vAlign w:val="bottom"/>
            <w:hideMark/>
          </w:tcPr>
          <w:p w14:paraId="590909AB"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13,5</w:t>
            </w:r>
          </w:p>
        </w:tc>
        <w:tc>
          <w:tcPr>
            <w:tcW w:w="441" w:type="pct"/>
            <w:tcBorders>
              <w:top w:val="nil"/>
              <w:left w:val="nil"/>
              <w:bottom w:val="single" w:sz="4" w:space="0" w:color="auto"/>
              <w:right w:val="single" w:sz="4" w:space="0" w:color="auto"/>
            </w:tcBorders>
            <w:shd w:val="clear" w:color="auto" w:fill="auto"/>
            <w:noWrap/>
            <w:vAlign w:val="bottom"/>
            <w:hideMark/>
          </w:tcPr>
          <w:p w14:paraId="4AC4B991"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69,6</w:t>
            </w:r>
          </w:p>
        </w:tc>
        <w:tc>
          <w:tcPr>
            <w:tcW w:w="559" w:type="pct"/>
            <w:tcBorders>
              <w:top w:val="nil"/>
              <w:left w:val="nil"/>
              <w:bottom w:val="single" w:sz="4" w:space="0" w:color="auto"/>
              <w:right w:val="double" w:sz="6" w:space="0" w:color="auto"/>
            </w:tcBorders>
            <w:shd w:val="clear" w:color="auto" w:fill="auto"/>
            <w:noWrap/>
            <w:vAlign w:val="bottom"/>
            <w:hideMark/>
          </w:tcPr>
          <w:p w14:paraId="780FBE59"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15,5</w:t>
            </w:r>
          </w:p>
        </w:tc>
        <w:tc>
          <w:tcPr>
            <w:tcW w:w="746" w:type="pct"/>
            <w:tcBorders>
              <w:top w:val="nil"/>
              <w:left w:val="nil"/>
              <w:bottom w:val="single" w:sz="4" w:space="0" w:color="auto"/>
              <w:right w:val="single" w:sz="4" w:space="0" w:color="auto"/>
            </w:tcBorders>
            <w:shd w:val="clear" w:color="auto" w:fill="auto"/>
            <w:vAlign w:val="bottom"/>
            <w:hideMark/>
          </w:tcPr>
          <w:p w14:paraId="0F0651E6"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17,7</w:t>
            </w:r>
          </w:p>
        </w:tc>
        <w:tc>
          <w:tcPr>
            <w:tcW w:w="636" w:type="pct"/>
            <w:tcBorders>
              <w:top w:val="nil"/>
              <w:left w:val="nil"/>
              <w:bottom w:val="single" w:sz="4" w:space="0" w:color="auto"/>
              <w:right w:val="single" w:sz="4" w:space="0" w:color="auto"/>
            </w:tcBorders>
            <w:shd w:val="clear" w:color="auto" w:fill="auto"/>
            <w:vAlign w:val="bottom"/>
            <w:hideMark/>
          </w:tcPr>
          <w:p w14:paraId="008097E3"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-40,7</w:t>
            </w:r>
          </w:p>
        </w:tc>
        <w:tc>
          <w:tcPr>
            <w:tcW w:w="771" w:type="pct"/>
            <w:tcBorders>
              <w:top w:val="nil"/>
              <w:left w:val="nil"/>
              <w:bottom w:val="single" w:sz="4" w:space="0" w:color="auto"/>
              <w:right w:val="single" w:sz="12" w:space="0" w:color="auto"/>
            </w:tcBorders>
            <w:shd w:val="clear" w:color="auto" w:fill="auto"/>
            <w:noWrap/>
            <w:vAlign w:val="bottom"/>
            <w:hideMark/>
          </w:tcPr>
          <w:p w14:paraId="604F7CD6"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-26,7</w:t>
            </w:r>
          </w:p>
        </w:tc>
      </w:tr>
      <w:tr w:rsidR="003B2986" w:rsidRPr="00E36734" w14:paraId="1463B387" w14:textId="77777777" w:rsidTr="003B2986">
        <w:trPr>
          <w:trHeight w:val="288"/>
        </w:trPr>
        <w:tc>
          <w:tcPr>
            <w:tcW w:w="691" w:type="pct"/>
            <w:vMerge/>
            <w:tcBorders>
              <w:top w:val="nil"/>
              <w:left w:val="single" w:sz="12" w:space="0" w:color="auto"/>
              <w:bottom w:val="single" w:sz="12" w:space="0" w:color="000000"/>
              <w:right w:val="single" w:sz="4" w:space="0" w:color="auto"/>
            </w:tcBorders>
            <w:vAlign w:val="center"/>
            <w:hideMark/>
          </w:tcPr>
          <w:p w14:paraId="7775DED0" w14:textId="77777777" w:rsidR="003B2986" w:rsidRPr="00E36734" w:rsidRDefault="003B2986" w:rsidP="003B2986">
            <w:pPr>
              <w:spacing w:after="0" w:line="240" w:lineRule="auto"/>
              <w:rPr>
                <w:rFonts w:ascii="Calibri" w:eastAsia="Times New Roman" w:hAnsi="Calibri" w:cs="Calibri"/>
                <w:color w:val="000000"/>
                <w:sz w:val="18"/>
                <w:szCs w:val="18"/>
                <w:lang w:val="en-US"/>
              </w:rPr>
            </w:pPr>
          </w:p>
        </w:tc>
        <w:tc>
          <w:tcPr>
            <w:tcW w:w="741" w:type="pct"/>
            <w:tcBorders>
              <w:top w:val="nil"/>
              <w:left w:val="nil"/>
              <w:bottom w:val="single" w:sz="4" w:space="0" w:color="auto"/>
              <w:right w:val="single" w:sz="4" w:space="0" w:color="auto"/>
            </w:tcBorders>
            <w:shd w:val="clear" w:color="auto" w:fill="auto"/>
            <w:vAlign w:val="bottom"/>
            <w:hideMark/>
          </w:tcPr>
          <w:p w14:paraId="7FF1C2B3" w14:textId="77777777" w:rsidR="003B2986" w:rsidRPr="00E36734" w:rsidRDefault="003B2986" w:rsidP="003B2986">
            <w:pPr>
              <w:spacing w:after="0" w:line="240" w:lineRule="auto"/>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Μεταποίηση</w:t>
            </w:r>
          </w:p>
        </w:tc>
        <w:tc>
          <w:tcPr>
            <w:tcW w:w="415" w:type="pct"/>
            <w:tcBorders>
              <w:top w:val="nil"/>
              <w:left w:val="nil"/>
              <w:bottom w:val="single" w:sz="4" w:space="0" w:color="auto"/>
              <w:right w:val="single" w:sz="4" w:space="0" w:color="auto"/>
            </w:tcBorders>
            <w:shd w:val="clear" w:color="auto" w:fill="auto"/>
            <w:noWrap/>
            <w:vAlign w:val="bottom"/>
            <w:hideMark/>
          </w:tcPr>
          <w:p w14:paraId="78C75804"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10,3</w:t>
            </w:r>
          </w:p>
        </w:tc>
        <w:tc>
          <w:tcPr>
            <w:tcW w:w="441" w:type="pct"/>
            <w:tcBorders>
              <w:top w:val="nil"/>
              <w:left w:val="nil"/>
              <w:bottom w:val="single" w:sz="4" w:space="0" w:color="auto"/>
              <w:right w:val="single" w:sz="4" w:space="0" w:color="auto"/>
            </w:tcBorders>
            <w:shd w:val="clear" w:color="auto" w:fill="auto"/>
            <w:noWrap/>
            <w:vAlign w:val="bottom"/>
            <w:hideMark/>
          </w:tcPr>
          <w:p w14:paraId="12888F8F"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70,1</w:t>
            </w:r>
          </w:p>
        </w:tc>
        <w:tc>
          <w:tcPr>
            <w:tcW w:w="559" w:type="pct"/>
            <w:tcBorders>
              <w:top w:val="nil"/>
              <w:left w:val="nil"/>
              <w:bottom w:val="single" w:sz="4" w:space="0" w:color="auto"/>
              <w:right w:val="double" w:sz="6" w:space="0" w:color="auto"/>
            </w:tcBorders>
            <w:shd w:val="clear" w:color="auto" w:fill="auto"/>
            <w:noWrap/>
            <w:vAlign w:val="bottom"/>
            <w:hideMark/>
          </w:tcPr>
          <w:p w14:paraId="1BF82F67"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18,6</w:t>
            </w:r>
          </w:p>
        </w:tc>
        <w:tc>
          <w:tcPr>
            <w:tcW w:w="746" w:type="pct"/>
            <w:tcBorders>
              <w:top w:val="nil"/>
              <w:left w:val="nil"/>
              <w:bottom w:val="single" w:sz="4" w:space="0" w:color="auto"/>
              <w:right w:val="single" w:sz="4" w:space="0" w:color="auto"/>
            </w:tcBorders>
            <w:shd w:val="clear" w:color="auto" w:fill="auto"/>
            <w:vAlign w:val="bottom"/>
            <w:hideMark/>
          </w:tcPr>
          <w:p w14:paraId="1B3F3CB7"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16,3</w:t>
            </w:r>
          </w:p>
        </w:tc>
        <w:tc>
          <w:tcPr>
            <w:tcW w:w="636" w:type="pct"/>
            <w:tcBorders>
              <w:top w:val="nil"/>
              <w:left w:val="nil"/>
              <w:bottom w:val="single" w:sz="4" w:space="0" w:color="auto"/>
              <w:right w:val="single" w:sz="4" w:space="0" w:color="auto"/>
            </w:tcBorders>
            <w:shd w:val="clear" w:color="auto" w:fill="auto"/>
            <w:vAlign w:val="bottom"/>
            <w:hideMark/>
          </w:tcPr>
          <w:p w14:paraId="6408F818"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-48,2</w:t>
            </w:r>
          </w:p>
        </w:tc>
        <w:tc>
          <w:tcPr>
            <w:tcW w:w="771" w:type="pct"/>
            <w:tcBorders>
              <w:top w:val="nil"/>
              <w:left w:val="nil"/>
              <w:bottom w:val="single" w:sz="4" w:space="0" w:color="auto"/>
              <w:right w:val="single" w:sz="12" w:space="0" w:color="auto"/>
            </w:tcBorders>
            <w:shd w:val="clear" w:color="auto" w:fill="auto"/>
            <w:noWrap/>
            <w:vAlign w:val="bottom"/>
            <w:hideMark/>
          </w:tcPr>
          <w:p w14:paraId="472292BA"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-33,4</w:t>
            </w:r>
          </w:p>
        </w:tc>
      </w:tr>
      <w:tr w:rsidR="003B2986" w:rsidRPr="00E36734" w14:paraId="08BC7967" w14:textId="77777777" w:rsidTr="003B2986">
        <w:trPr>
          <w:trHeight w:val="300"/>
        </w:trPr>
        <w:tc>
          <w:tcPr>
            <w:tcW w:w="691" w:type="pct"/>
            <w:vMerge/>
            <w:tcBorders>
              <w:top w:val="nil"/>
              <w:left w:val="single" w:sz="12" w:space="0" w:color="auto"/>
              <w:bottom w:val="single" w:sz="12" w:space="0" w:color="000000"/>
              <w:right w:val="single" w:sz="4" w:space="0" w:color="auto"/>
            </w:tcBorders>
            <w:vAlign w:val="center"/>
            <w:hideMark/>
          </w:tcPr>
          <w:p w14:paraId="4FEB003C" w14:textId="77777777" w:rsidR="003B2986" w:rsidRPr="00E36734" w:rsidRDefault="003B2986" w:rsidP="003B2986">
            <w:pPr>
              <w:spacing w:after="0" w:line="240" w:lineRule="auto"/>
              <w:rPr>
                <w:rFonts w:ascii="Calibri" w:eastAsia="Times New Roman" w:hAnsi="Calibri" w:cs="Calibri"/>
                <w:color w:val="000000"/>
                <w:sz w:val="18"/>
                <w:szCs w:val="18"/>
                <w:lang w:val="en-US"/>
              </w:rPr>
            </w:pPr>
          </w:p>
        </w:tc>
        <w:tc>
          <w:tcPr>
            <w:tcW w:w="741" w:type="pct"/>
            <w:tcBorders>
              <w:top w:val="nil"/>
              <w:left w:val="nil"/>
              <w:bottom w:val="single" w:sz="12" w:space="0" w:color="auto"/>
              <w:right w:val="single" w:sz="4" w:space="0" w:color="auto"/>
            </w:tcBorders>
            <w:shd w:val="clear" w:color="auto" w:fill="auto"/>
            <w:vAlign w:val="bottom"/>
            <w:hideMark/>
          </w:tcPr>
          <w:p w14:paraId="0574CE80" w14:textId="77777777" w:rsidR="003B2986" w:rsidRPr="00E36734" w:rsidRDefault="003B2986" w:rsidP="003B2986">
            <w:pPr>
              <w:spacing w:after="0" w:line="240" w:lineRule="auto"/>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Υπηρεσίες</w:t>
            </w:r>
          </w:p>
        </w:tc>
        <w:tc>
          <w:tcPr>
            <w:tcW w:w="415" w:type="pct"/>
            <w:tcBorders>
              <w:top w:val="nil"/>
              <w:left w:val="nil"/>
              <w:bottom w:val="single" w:sz="12" w:space="0" w:color="auto"/>
              <w:right w:val="single" w:sz="4" w:space="0" w:color="auto"/>
            </w:tcBorders>
            <w:shd w:val="clear" w:color="auto" w:fill="auto"/>
            <w:noWrap/>
            <w:vAlign w:val="bottom"/>
            <w:hideMark/>
          </w:tcPr>
          <w:p w14:paraId="6D22A9A9"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9,3</w:t>
            </w:r>
          </w:p>
        </w:tc>
        <w:tc>
          <w:tcPr>
            <w:tcW w:w="441" w:type="pct"/>
            <w:tcBorders>
              <w:top w:val="nil"/>
              <w:left w:val="nil"/>
              <w:bottom w:val="single" w:sz="12" w:space="0" w:color="auto"/>
              <w:right w:val="single" w:sz="4" w:space="0" w:color="auto"/>
            </w:tcBorders>
            <w:shd w:val="clear" w:color="auto" w:fill="auto"/>
            <w:noWrap/>
            <w:vAlign w:val="bottom"/>
            <w:hideMark/>
          </w:tcPr>
          <w:p w14:paraId="65D3BC31"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72,0</w:t>
            </w:r>
          </w:p>
        </w:tc>
        <w:tc>
          <w:tcPr>
            <w:tcW w:w="559" w:type="pct"/>
            <w:tcBorders>
              <w:top w:val="nil"/>
              <w:left w:val="nil"/>
              <w:bottom w:val="single" w:sz="12" w:space="0" w:color="auto"/>
              <w:right w:val="double" w:sz="6" w:space="0" w:color="auto"/>
            </w:tcBorders>
            <w:shd w:val="clear" w:color="auto" w:fill="auto"/>
            <w:noWrap/>
            <w:vAlign w:val="bottom"/>
            <w:hideMark/>
          </w:tcPr>
          <w:p w14:paraId="06E79120"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17,0</w:t>
            </w:r>
          </w:p>
        </w:tc>
        <w:tc>
          <w:tcPr>
            <w:tcW w:w="746" w:type="pct"/>
            <w:tcBorders>
              <w:top w:val="nil"/>
              <w:left w:val="nil"/>
              <w:bottom w:val="single" w:sz="12" w:space="0" w:color="auto"/>
              <w:right w:val="single" w:sz="4" w:space="0" w:color="auto"/>
            </w:tcBorders>
            <w:shd w:val="clear" w:color="auto" w:fill="auto"/>
            <w:noWrap/>
            <w:vAlign w:val="bottom"/>
            <w:hideMark/>
          </w:tcPr>
          <w:p w14:paraId="7CB72C9F"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29,4</w:t>
            </w:r>
          </w:p>
        </w:tc>
        <w:tc>
          <w:tcPr>
            <w:tcW w:w="636" w:type="pct"/>
            <w:tcBorders>
              <w:top w:val="nil"/>
              <w:left w:val="nil"/>
              <w:bottom w:val="single" w:sz="12" w:space="0" w:color="auto"/>
              <w:right w:val="single" w:sz="4" w:space="0" w:color="auto"/>
            </w:tcBorders>
            <w:shd w:val="clear" w:color="auto" w:fill="auto"/>
            <w:noWrap/>
            <w:vAlign w:val="bottom"/>
            <w:hideMark/>
          </w:tcPr>
          <w:p w14:paraId="1A37D237"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-54,2</w:t>
            </w:r>
          </w:p>
        </w:tc>
        <w:tc>
          <w:tcPr>
            <w:tcW w:w="771" w:type="pct"/>
            <w:tcBorders>
              <w:top w:val="nil"/>
              <w:left w:val="nil"/>
              <w:bottom w:val="single" w:sz="12" w:space="0" w:color="auto"/>
              <w:right w:val="single" w:sz="12" w:space="0" w:color="auto"/>
            </w:tcBorders>
            <w:shd w:val="clear" w:color="auto" w:fill="auto"/>
            <w:noWrap/>
            <w:vAlign w:val="bottom"/>
            <w:hideMark/>
          </w:tcPr>
          <w:p w14:paraId="6A884498"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-37,3</w:t>
            </w:r>
          </w:p>
        </w:tc>
      </w:tr>
      <w:tr w:rsidR="003B2986" w:rsidRPr="00E36734" w14:paraId="7DE42792" w14:textId="77777777" w:rsidTr="003B2986">
        <w:trPr>
          <w:trHeight w:val="300"/>
        </w:trPr>
        <w:tc>
          <w:tcPr>
            <w:tcW w:w="691" w:type="pct"/>
            <w:vMerge w:val="restart"/>
            <w:tcBorders>
              <w:top w:val="nil"/>
              <w:left w:val="single" w:sz="12" w:space="0" w:color="auto"/>
              <w:bottom w:val="single" w:sz="12" w:space="0" w:color="000000"/>
              <w:right w:val="single" w:sz="4" w:space="0" w:color="auto"/>
            </w:tcBorders>
            <w:shd w:val="clear" w:color="auto" w:fill="auto"/>
            <w:vAlign w:val="center"/>
            <w:hideMark/>
          </w:tcPr>
          <w:p w14:paraId="418A1366"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ΕΤΗ ΛΕΙΤΟΥΡΓΙΑΣ</w:t>
            </w:r>
          </w:p>
        </w:tc>
        <w:tc>
          <w:tcPr>
            <w:tcW w:w="741" w:type="pct"/>
            <w:tcBorders>
              <w:top w:val="nil"/>
              <w:left w:val="nil"/>
              <w:bottom w:val="single" w:sz="4" w:space="0" w:color="auto"/>
              <w:right w:val="single" w:sz="4" w:space="0" w:color="auto"/>
            </w:tcBorders>
            <w:shd w:val="clear" w:color="auto" w:fill="auto"/>
            <w:vAlign w:val="bottom"/>
            <w:hideMark/>
          </w:tcPr>
          <w:p w14:paraId="6917059F" w14:textId="77777777" w:rsidR="003B2986" w:rsidRPr="00E36734" w:rsidRDefault="003B2986" w:rsidP="003B2986">
            <w:pPr>
              <w:spacing w:after="0" w:line="240" w:lineRule="auto"/>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Έως 5 χρόνια</w:t>
            </w:r>
          </w:p>
        </w:tc>
        <w:tc>
          <w:tcPr>
            <w:tcW w:w="415" w:type="pct"/>
            <w:tcBorders>
              <w:top w:val="nil"/>
              <w:left w:val="nil"/>
              <w:bottom w:val="single" w:sz="4" w:space="0" w:color="auto"/>
              <w:right w:val="single" w:sz="4" w:space="0" w:color="auto"/>
            </w:tcBorders>
            <w:shd w:val="clear" w:color="auto" w:fill="auto"/>
            <w:noWrap/>
            <w:vAlign w:val="bottom"/>
            <w:hideMark/>
          </w:tcPr>
          <w:p w14:paraId="333F8F3C"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10,9</w:t>
            </w:r>
          </w:p>
        </w:tc>
        <w:tc>
          <w:tcPr>
            <w:tcW w:w="441" w:type="pct"/>
            <w:tcBorders>
              <w:top w:val="nil"/>
              <w:left w:val="nil"/>
              <w:bottom w:val="single" w:sz="4" w:space="0" w:color="auto"/>
              <w:right w:val="single" w:sz="4" w:space="0" w:color="auto"/>
            </w:tcBorders>
            <w:shd w:val="clear" w:color="auto" w:fill="auto"/>
            <w:noWrap/>
            <w:vAlign w:val="bottom"/>
            <w:hideMark/>
          </w:tcPr>
          <w:p w14:paraId="2866CEE9"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65,5</w:t>
            </w:r>
          </w:p>
        </w:tc>
        <w:tc>
          <w:tcPr>
            <w:tcW w:w="559" w:type="pct"/>
            <w:tcBorders>
              <w:top w:val="nil"/>
              <w:left w:val="nil"/>
              <w:bottom w:val="single" w:sz="4" w:space="0" w:color="auto"/>
              <w:right w:val="single" w:sz="4" w:space="0" w:color="auto"/>
            </w:tcBorders>
            <w:shd w:val="clear" w:color="auto" w:fill="auto"/>
            <w:noWrap/>
            <w:vAlign w:val="bottom"/>
            <w:hideMark/>
          </w:tcPr>
          <w:p w14:paraId="0B1C7985"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16,4</w:t>
            </w:r>
          </w:p>
        </w:tc>
        <w:tc>
          <w:tcPr>
            <w:tcW w:w="746" w:type="pct"/>
            <w:tcBorders>
              <w:top w:val="nil"/>
              <w:left w:val="nil"/>
              <w:bottom w:val="single" w:sz="4" w:space="0" w:color="auto"/>
              <w:right w:val="single" w:sz="4" w:space="0" w:color="auto"/>
            </w:tcBorders>
            <w:shd w:val="clear" w:color="auto" w:fill="auto"/>
            <w:noWrap/>
            <w:vAlign w:val="bottom"/>
            <w:hideMark/>
          </w:tcPr>
          <w:p w14:paraId="5E6E919F"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11,3</w:t>
            </w:r>
          </w:p>
        </w:tc>
        <w:tc>
          <w:tcPr>
            <w:tcW w:w="636" w:type="pct"/>
            <w:tcBorders>
              <w:top w:val="nil"/>
              <w:left w:val="nil"/>
              <w:bottom w:val="single" w:sz="4" w:space="0" w:color="auto"/>
              <w:right w:val="single" w:sz="4" w:space="0" w:color="auto"/>
            </w:tcBorders>
            <w:shd w:val="clear" w:color="auto" w:fill="auto"/>
            <w:noWrap/>
            <w:vAlign w:val="bottom"/>
            <w:hideMark/>
          </w:tcPr>
          <w:p w14:paraId="52D56457"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-49,4</w:t>
            </w:r>
          </w:p>
        </w:tc>
        <w:tc>
          <w:tcPr>
            <w:tcW w:w="771" w:type="pct"/>
            <w:tcBorders>
              <w:top w:val="nil"/>
              <w:left w:val="nil"/>
              <w:bottom w:val="single" w:sz="4" w:space="0" w:color="auto"/>
              <w:right w:val="single" w:sz="12" w:space="0" w:color="auto"/>
            </w:tcBorders>
            <w:shd w:val="clear" w:color="auto" w:fill="auto"/>
            <w:noWrap/>
            <w:vAlign w:val="bottom"/>
            <w:hideMark/>
          </w:tcPr>
          <w:p w14:paraId="5F7746CE"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-35,1</w:t>
            </w:r>
          </w:p>
        </w:tc>
      </w:tr>
      <w:tr w:rsidR="003B2986" w:rsidRPr="00E36734" w14:paraId="1217DEB4" w14:textId="77777777" w:rsidTr="003B2986">
        <w:trPr>
          <w:trHeight w:val="288"/>
        </w:trPr>
        <w:tc>
          <w:tcPr>
            <w:tcW w:w="691" w:type="pct"/>
            <w:vMerge/>
            <w:tcBorders>
              <w:top w:val="nil"/>
              <w:left w:val="single" w:sz="12" w:space="0" w:color="auto"/>
              <w:bottom w:val="single" w:sz="12" w:space="0" w:color="000000"/>
              <w:right w:val="single" w:sz="4" w:space="0" w:color="auto"/>
            </w:tcBorders>
            <w:vAlign w:val="center"/>
            <w:hideMark/>
          </w:tcPr>
          <w:p w14:paraId="34CF0AF8" w14:textId="77777777" w:rsidR="003B2986" w:rsidRPr="00E36734" w:rsidRDefault="003B2986" w:rsidP="003B2986">
            <w:pPr>
              <w:spacing w:after="0" w:line="240" w:lineRule="auto"/>
              <w:rPr>
                <w:rFonts w:ascii="Calibri" w:eastAsia="Times New Roman" w:hAnsi="Calibri" w:cs="Calibri"/>
                <w:color w:val="000000"/>
                <w:sz w:val="18"/>
                <w:szCs w:val="18"/>
                <w:lang w:val="en-US"/>
              </w:rPr>
            </w:pPr>
          </w:p>
        </w:tc>
        <w:tc>
          <w:tcPr>
            <w:tcW w:w="741" w:type="pct"/>
            <w:tcBorders>
              <w:top w:val="nil"/>
              <w:left w:val="nil"/>
              <w:bottom w:val="single" w:sz="4" w:space="0" w:color="auto"/>
              <w:right w:val="single" w:sz="4" w:space="0" w:color="auto"/>
            </w:tcBorders>
            <w:shd w:val="clear" w:color="auto" w:fill="auto"/>
            <w:vAlign w:val="bottom"/>
            <w:hideMark/>
          </w:tcPr>
          <w:p w14:paraId="05E49A8C" w14:textId="77777777" w:rsidR="003B2986" w:rsidRPr="00E36734" w:rsidRDefault="003B2986" w:rsidP="003B2986">
            <w:pPr>
              <w:spacing w:after="0" w:line="240" w:lineRule="auto"/>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5-10 χρόνια</w:t>
            </w:r>
          </w:p>
        </w:tc>
        <w:tc>
          <w:tcPr>
            <w:tcW w:w="415" w:type="pct"/>
            <w:tcBorders>
              <w:top w:val="nil"/>
              <w:left w:val="nil"/>
              <w:bottom w:val="single" w:sz="4" w:space="0" w:color="auto"/>
              <w:right w:val="single" w:sz="4" w:space="0" w:color="auto"/>
            </w:tcBorders>
            <w:shd w:val="clear" w:color="auto" w:fill="auto"/>
            <w:noWrap/>
            <w:vAlign w:val="bottom"/>
            <w:hideMark/>
          </w:tcPr>
          <w:p w14:paraId="2E09A728"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16,4</w:t>
            </w:r>
          </w:p>
        </w:tc>
        <w:tc>
          <w:tcPr>
            <w:tcW w:w="441" w:type="pct"/>
            <w:tcBorders>
              <w:top w:val="nil"/>
              <w:left w:val="nil"/>
              <w:bottom w:val="single" w:sz="4" w:space="0" w:color="auto"/>
              <w:right w:val="single" w:sz="4" w:space="0" w:color="auto"/>
            </w:tcBorders>
            <w:shd w:val="clear" w:color="auto" w:fill="auto"/>
            <w:noWrap/>
            <w:vAlign w:val="bottom"/>
            <w:hideMark/>
          </w:tcPr>
          <w:p w14:paraId="435E6925"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67,2</w:t>
            </w:r>
          </w:p>
        </w:tc>
        <w:tc>
          <w:tcPr>
            <w:tcW w:w="559" w:type="pct"/>
            <w:tcBorders>
              <w:top w:val="nil"/>
              <w:left w:val="nil"/>
              <w:bottom w:val="single" w:sz="4" w:space="0" w:color="auto"/>
              <w:right w:val="single" w:sz="4" w:space="0" w:color="auto"/>
            </w:tcBorders>
            <w:shd w:val="clear" w:color="auto" w:fill="auto"/>
            <w:noWrap/>
            <w:vAlign w:val="bottom"/>
            <w:hideMark/>
          </w:tcPr>
          <w:p w14:paraId="17F49273"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16,4</w:t>
            </w:r>
          </w:p>
        </w:tc>
        <w:tc>
          <w:tcPr>
            <w:tcW w:w="746" w:type="pct"/>
            <w:tcBorders>
              <w:top w:val="nil"/>
              <w:left w:val="nil"/>
              <w:bottom w:val="single" w:sz="4" w:space="0" w:color="auto"/>
              <w:right w:val="single" w:sz="4" w:space="0" w:color="auto"/>
            </w:tcBorders>
            <w:shd w:val="clear" w:color="auto" w:fill="auto"/>
            <w:noWrap/>
            <w:vAlign w:val="bottom"/>
            <w:hideMark/>
          </w:tcPr>
          <w:p w14:paraId="1CA30FBC"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29,4</w:t>
            </w:r>
          </w:p>
        </w:tc>
        <w:tc>
          <w:tcPr>
            <w:tcW w:w="636" w:type="pct"/>
            <w:tcBorders>
              <w:top w:val="nil"/>
              <w:left w:val="nil"/>
              <w:bottom w:val="single" w:sz="4" w:space="0" w:color="auto"/>
              <w:right w:val="single" w:sz="4" w:space="0" w:color="auto"/>
            </w:tcBorders>
            <w:shd w:val="clear" w:color="auto" w:fill="auto"/>
            <w:noWrap/>
            <w:vAlign w:val="bottom"/>
            <w:hideMark/>
          </w:tcPr>
          <w:p w14:paraId="369F5D7D"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-45,4</w:t>
            </w:r>
          </w:p>
        </w:tc>
        <w:tc>
          <w:tcPr>
            <w:tcW w:w="771" w:type="pct"/>
            <w:tcBorders>
              <w:top w:val="nil"/>
              <w:left w:val="nil"/>
              <w:bottom w:val="single" w:sz="4" w:space="0" w:color="auto"/>
              <w:right w:val="single" w:sz="12" w:space="0" w:color="auto"/>
            </w:tcBorders>
            <w:shd w:val="clear" w:color="auto" w:fill="auto"/>
            <w:noWrap/>
            <w:vAlign w:val="bottom"/>
            <w:hideMark/>
          </w:tcPr>
          <w:p w14:paraId="1AD2551C"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-27,7</w:t>
            </w:r>
          </w:p>
        </w:tc>
      </w:tr>
      <w:tr w:rsidR="003B2986" w:rsidRPr="00E36734" w14:paraId="1736988B" w14:textId="77777777" w:rsidTr="003B2986">
        <w:trPr>
          <w:trHeight w:val="288"/>
        </w:trPr>
        <w:tc>
          <w:tcPr>
            <w:tcW w:w="691" w:type="pct"/>
            <w:vMerge/>
            <w:tcBorders>
              <w:top w:val="nil"/>
              <w:left w:val="single" w:sz="12" w:space="0" w:color="auto"/>
              <w:bottom w:val="single" w:sz="12" w:space="0" w:color="000000"/>
              <w:right w:val="single" w:sz="4" w:space="0" w:color="auto"/>
            </w:tcBorders>
            <w:vAlign w:val="center"/>
            <w:hideMark/>
          </w:tcPr>
          <w:p w14:paraId="38C75677" w14:textId="77777777" w:rsidR="003B2986" w:rsidRPr="00E36734" w:rsidRDefault="003B2986" w:rsidP="003B2986">
            <w:pPr>
              <w:spacing w:after="0" w:line="240" w:lineRule="auto"/>
              <w:rPr>
                <w:rFonts w:ascii="Calibri" w:eastAsia="Times New Roman" w:hAnsi="Calibri" w:cs="Calibri"/>
                <w:color w:val="000000"/>
                <w:sz w:val="18"/>
                <w:szCs w:val="18"/>
                <w:lang w:val="en-US"/>
              </w:rPr>
            </w:pPr>
          </w:p>
        </w:tc>
        <w:tc>
          <w:tcPr>
            <w:tcW w:w="741" w:type="pct"/>
            <w:tcBorders>
              <w:top w:val="nil"/>
              <w:left w:val="nil"/>
              <w:bottom w:val="single" w:sz="4" w:space="0" w:color="auto"/>
              <w:right w:val="single" w:sz="4" w:space="0" w:color="auto"/>
            </w:tcBorders>
            <w:shd w:val="clear" w:color="auto" w:fill="auto"/>
            <w:vAlign w:val="bottom"/>
            <w:hideMark/>
          </w:tcPr>
          <w:p w14:paraId="524CDA1D" w14:textId="77777777" w:rsidR="003B2986" w:rsidRPr="00E36734" w:rsidRDefault="003B2986" w:rsidP="003B2986">
            <w:pPr>
              <w:spacing w:after="0" w:line="240" w:lineRule="auto"/>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10-15 χρόνια</w:t>
            </w:r>
          </w:p>
        </w:tc>
        <w:tc>
          <w:tcPr>
            <w:tcW w:w="415" w:type="pct"/>
            <w:tcBorders>
              <w:top w:val="nil"/>
              <w:left w:val="nil"/>
              <w:bottom w:val="single" w:sz="4" w:space="0" w:color="auto"/>
              <w:right w:val="single" w:sz="4" w:space="0" w:color="auto"/>
            </w:tcBorders>
            <w:shd w:val="clear" w:color="auto" w:fill="auto"/>
            <w:noWrap/>
            <w:vAlign w:val="bottom"/>
            <w:hideMark/>
          </w:tcPr>
          <w:p w14:paraId="69585DEE"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15,7</w:t>
            </w:r>
          </w:p>
        </w:tc>
        <w:tc>
          <w:tcPr>
            <w:tcW w:w="441" w:type="pct"/>
            <w:tcBorders>
              <w:top w:val="nil"/>
              <w:left w:val="nil"/>
              <w:bottom w:val="single" w:sz="4" w:space="0" w:color="auto"/>
              <w:right w:val="single" w:sz="4" w:space="0" w:color="auto"/>
            </w:tcBorders>
            <w:shd w:val="clear" w:color="auto" w:fill="auto"/>
            <w:noWrap/>
            <w:vAlign w:val="bottom"/>
            <w:hideMark/>
          </w:tcPr>
          <w:p w14:paraId="7E1853AA"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64,3</w:t>
            </w:r>
          </w:p>
        </w:tc>
        <w:tc>
          <w:tcPr>
            <w:tcW w:w="559" w:type="pct"/>
            <w:tcBorders>
              <w:top w:val="nil"/>
              <w:left w:val="nil"/>
              <w:bottom w:val="single" w:sz="4" w:space="0" w:color="auto"/>
              <w:right w:val="single" w:sz="4" w:space="0" w:color="auto"/>
            </w:tcBorders>
            <w:shd w:val="clear" w:color="auto" w:fill="auto"/>
            <w:noWrap/>
            <w:vAlign w:val="bottom"/>
            <w:hideMark/>
          </w:tcPr>
          <w:p w14:paraId="064EA9A8"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18,6</w:t>
            </w:r>
          </w:p>
        </w:tc>
        <w:tc>
          <w:tcPr>
            <w:tcW w:w="746" w:type="pct"/>
            <w:tcBorders>
              <w:top w:val="nil"/>
              <w:left w:val="nil"/>
              <w:bottom w:val="single" w:sz="4" w:space="0" w:color="auto"/>
              <w:right w:val="single" w:sz="4" w:space="0" w:color="auto"/>
            </w:tcBorders>
            <w:shd w:val="clear" w:color="auto" w:fill="auto"/>
            <w:noWrap/>
            <w:vAlign w:val="bottom"/>
            <w:hideMark/>
          </w:tcPr>
          <w:p w14:paraId="12CF401E"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32,0</w:t>
            </w:r>
          </w:p>
        </w:tc>
        <w:tc>
          <w:tcPr>
            <w:tcW w:w="636" w:type="pct"/>
            <w:tcBorders>
              <w:top w:val="nil"/>
              <w:left w:val="nil"/>
              <w:bottom w:val="single" w:sz="4" w:space="0" w:color="auto"/>
              <w:right w:val="single" w:sz="4" w:space="0" w:color="auto"/>
            </w:tcBorders>
            <w:shd w:val="clear" w:color="auto" w:fill="auto"/>
            <w:noWrap/>
            <w:vAlign w:val="bottom"/>
            <w:hideMark/>
          </w:tcPr>
          <w:p w14:paraId="33DB6736"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-42,0</w:t>
            </w:r>
          </w:p>
        </w:tc>
        <w:tc>
          <w:tcPr>
            <w:tcW w:w="771" w:type="pct"/>
            <w:tcBorders>
              <w:top w:val="nil"/>
              <w:left w:val="nil"/>
              <w:bottom w:val="single" w:sz="4" w:space="0" w:color="auto"/>
              <w:right w:val="single" w:sz="12" w:space="0" w:color="auto"/>
            </w:tcBorders>
            <w:shd w:val="clear" w:color="auto" w:fill="auto"/>
            <w:noWrap/>
            <w:vAlign w:val="bottom"/>
            <w:hideMark/>
          </w:tcPr>
          <w:p w14:paraId="031351D2"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-22,2</w:t>
            </w:r>
          </w:p>
        </w:tc>
      </w:tr>
      <w:tr w:rsidR="003B2986" w:rsidRPr="00E36734" w14:paraId="4E204658" w14:textId="77777777" w:rsidTr="003B2986">
        <w:trPr>
          <w:trHeight w:val="300"/>
        </w:trPr>
        <w:tc>
          <w:tcPr>
            <w:tcW w:w="691" w:type="pct"/>
            <w:vMerge/>
            <w:tcBorders>
              <w:top w:val="nil"/>
              <w:left w:val="single" w:sz="12" w:space="0" w:color="auto"/>
              <w:bottom w:val="single" w:sz="12" w:space="0" w:color="000000"/>
              <w:right w:val="single" w:sz="4" w:space="0" w:color="auto"/>
            </w:tcBorders>
            <w:vAlign w:val="center"/>
            <w:hideMark/>
          </w:tcPr>
          <w:p w14:paraId="2486C944" w14:textId="77777777" w:rsidR="003B2986" w:rsidRPr="00E36734" w:rsidRDefault="003B2986" w:rsidP="003B2986">
            <w:pPr>
              <w:spacing w:after="0" w:line="240" w:lineRule="auto"/>
              <w:rPr>
                <w:rFonts w:ascii="Calibri" w:eastAsia="Times New Roman" w:hAnsi="Calibri" w:cs="Calibri"/>
                <w:color w:val="000000"/>
                <w:sz w:val="18"/>
                <w:szCs w:val="18"/>
                <w:lang w:val="en-US"/>
              </w:rPr>
            </w:pPr>
          </w:p>
        </w:tc>
        <w:tc>
          <w:tcPr>
            <w:tcW w:w="741" w:type="pct"/>
            <w:tcBorders>
              <w:top w:val="nil"/>
              <w:left w:val="nil"/>
              <w:bottom w:val="single" w:sz="12" w:space="0" w:color="auto"/>
              <w:right w:val="single" w:sz="4" w:space="0" w:color="auto"/>
            </w:tcBorders>
            <w:shd w:val="clear" w:color="auto" w:fill="auto"/>
            <w:vAlign w:val="bottom"/>
            <w:hideMark/>
          </w:tcPr>
          <w:p w14:paraId="61E40C18" w14:textId="77777777" w:rsidR="003B2986" w:rsidRPr="00E36734" w:rsidRDefault="003B2986" w:rsidP="003B2986">
            <w:pPr>
              <w:spacing w:after="0" w:line="240" w:lineRule="auto"/>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15 χρόνια και άνω</w:t>
            </w:r>
          </w:p>
        </w:tc>
        <w:tc>
          <w:tcPr>
            <w:tcW w:w="415" w:type="pct"/>
            <w:tcBorders>
              <w:top w:val="nil"/>
              <w:left w:val="nil"/>
              <w:bottom w:val="single" w:sz="12" w:space="0" w:color="auto"/>
              <w:right w:val="single" w:sz="4" w:space="0" w:color="auto"/>
            </w:tcBorders>
            <w:shd w:val="clear" w:color="auto" w:fill="auto"/>
            <w:noWrap/>
            <w:vAlign w:val="bottom"/>
            <w:hideMark/>
          </w:tcPr>
          <w:p w14:paraId="04B0DF1F"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10,1</w:t>
            </w:r>
          </w:p>
        </w:tc>
        <w:tc>
          <w:tcPr>
            <w:tcW w:w="441" w:type="pct"/>
            <w:tcBorders>
              <w:top w:val="nil"/>
              <w:left w:val="nil"/>
              <w:bottom w:val="single" w:sz="12" w:space="0" w:color="auto"/>
              <w:right w:val="single" w:sz="4" w:space="0" w:color="auto"/>
            </w:tcBorders>
            <w:shd w:val="clear" w:color="auto" w:fill="auto"/>
            <w:noWrap/>
            <w:vAlign w:val="bottom"/>
            <w:hideMark/>
          </w:tcPr>
          <w:p w14:paraId="106C590B"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72,1</w:t>
            </w:r>
          </w:p>
        </w:tc>
        <w:tc>
          <w:tcPr>
            <w:tcW w:w="559" w:type="pct"/>
            <w:tcBorders>
              <w:top w:val="nil"/>
              <w:left w:val="nil"/>
              <w:bottom w:val="single" w:sz="12" w:space="0" w:color="auto"/>
              <w:right w:val="single" w:sz="4" w:space="0" w:color="auto"/>
            </w:tcBorders>
            <w:shd w:val="clear" w:color="auto" w:fill="auto"/>
            <w:noWrap/>
            <w:vAlign w:val="bottom"/>
            <w:hideMark/>
          </w:tcPr>
          <w:p w14:paraId="27A0B7FD"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16,8</w:t>
            </w:r>
          </w:p>
        </w:tc>
        <w:tc>
          <w:tcPr>
            <w:tcW w:w="746" w:type="pct"/>
            <w:tcBorders>
              <w:top w:val="nil"/>
              <w:left w:val="nil"/>
              <w:bottom w:val="single" w:sz="12" w:space="0" w:color="auto"/>
              <w:right w:val="single" w:sz="4" w:space="0" w:color="auto"/>
            </w:tcBorders>
            <w:shd w:val="clear" w:color="auto" w:fill="auto"/>
            <w:noWrap/>
            <w:vAlign w:val="bottom"/>
            <w:hideMark/>
          </w:tcPr>
          <w:p w14:paraId="5BBF3934"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18,6</w:t>
            </w:r>
          </w:p>
        </w:tc>
        <w:tc>
          <w:tcPr>
            <w:tcW w:w="636" w:type="pct"/>
            <w:tcBorders>
              <w:top w:val="nil"/>
              <w:left w:val="nil"/>
              <w:bottom w:val="single" w:sz="12" w:space="0" w:color="auto"/>
              <w:right w:val="single" w:sz="4" w:space="0" w:color="auto"/>
            </w:tcBorders>
            <w:shd w:val="clear" w:color="auto" w:fill="auto"/>
            <w:noWrap/>
            <w:vAlign w:val="bottom"/>
            <w:hideMark/>
          </w:tcPr>
          <w:p w14:paraId="520266FE"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-48,5</w:t>
            </w:r>
          </w:p>
        </w:tc>
        <w:tc>
          <w:tcPr>
            <w:tcW w:w="771" w:type="pct"/>
            <w:tcBorders>
              <w:top w:val="nil"/>
              <w:left w:val="nil"/>
              <w:bottom w:val="single" w:sz="12" w:space="0" w:color="auto"/>
              <w:right w:val="single" w:sz="12" w:space="0" w:color="auto"/>
            </w:tcBorders>
            <w:shd w:val="clear" w:color="auto" w:fill="auto"/>
            <w:noWrap/>
            <w:vAlign w:val="bottom"/>
            <w:hideMark/>
          </w:tcPr>
          <w:p w14:paraId="4135F5B7"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-33,8</w:t>
            </w:r>
          </w:p>
        </w:tc>
      </w:tr>
      <w:tr w:rsidR="003B2986" w:rsidRPr="00E36734" w14:paraId="7C167588" w14:textId="77777777" w:rsidTr="003B2986">
        <w:trPr>
          <w:trHeight w:val="300"/>
        </w:trPr>
        <w:tc>
          <w:tcPr>
            <w:tcW w:w="691" w:type="pct"/>
            <w:vMerge w:val="restart"/>
            <w:tcBorders>
              <w:top w:val="nil"/>
              <w:left w:val="single" w:sz="12" w:space="0" w:color="auto"/>
              <w:bottom w:val="single" w:sz="12" w:space="0" w:color="000000"/>
              <w:right w:val="single" w:sz="4" w:space="0" w:color="auto"/>
            </w:tcBorders>
            <w:shd w:val="clear" w:color="auto" w:fill="auto"/>
            <w:vAlign w:val="center"/>
            <w:hideMark/>
          </w:tcPr>
          <w:p w14:paraId="47378824"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ΠΕΡΙΟΧΗ</w:t>
            </w:r>
          </w:p>
        </w:tc>
        <w:tc>
          <w:tcPr>
            <w:tcW w:w="741" w:type="pct"/>
            <w:tcBorders>
              <w:top w:val="nil"/>
              <w:left w:val="nil"/>
              <w:bottom w:val="single" w:sz="4" w:space="0" w:color="auto"/>
              <w:right w:val="single" w:sz="4" w:space="0" w:color="auto"/>
            </w:tcBorders>
            <w:shd w:val="clear" w:color="auto" w:fill="auto"/>
            <w:vAlign w:val="bottom"/>
            <w:hideMark/>
          </w:tcPr>
          <w:p w14:paraId="386EB5AE" w14:textId="77777777" w:rsidR="003B2986" w:rsidRPr="00E36734" w:rsidRDefault="003B2986" w:rsidP="003B2986">
            <w:pPr>
              <w:spacing w:after="0" w:line="240" w:lineRule="auto"/>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Αττική</w:t>
            </w:r>
          </w:p>
        </w:tc>
        <w:tc>
          <w:tcPr>
            <w:tcW w:w="415" w:type="pct"/>
            <w:tcBorders>
              <w:top w:val="nil"/>
              <w:left w:val="nil"/>
              <w:bottom w:val="single" w:sz="4" w:space="0" w:color="auto"/>
              <w:right w:val="single" w:sz="4" w:space="0" w:color="auto"/>
            </w:tcBorders>
            <w:shd w:val="clear" w:color="auto" w:fill="auto"/>
            <w:noWrap/>
            <w:vAlign w:val="bottom"/>
            <w:hideMark/>
          </w:tcPr>
          <w:p w14:paraId="0A3C9D92"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9,6</w:t>
            </w:r>
          </w:p>
        </w:tc>
        <w:tc>
          <w:tcPr>
            <w:tcW w:w="441" w:type="pct"/>
            <w:tcBorders>
              <w:top w:val="nil"/>
              <w:left w:val="nil"/>
              <w:bottom w:val="single" w:sz="4" w:space="0" w:color="auto"/>
              <w:right w:val="single" w:sz="4" w:space="0" w:color="auto"/>
            </w:tcBorders>
            <w:shd w:val="clear" w:color="auto" w:fill="auto"/>
            <w:noWrap/>
            <w:vAlign w:val="bottom"/>
            <w:hideMark/>
          </w:tcPr>
          <w:p w14:paraId="527596D8"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64,8</w:t>
            </w:r>
          </w:p>
        </w:tc>
        <w:tc>
          <w:tcPr>
            <w:tcW w:w="559" w:type="pct"/>
            <w:tcBorders>
              <w:top w:val="nil"/>
              <w:left w:val="nil"/>
              <w:bottom w:val="single" w:sz="4" w:space="0" w:color="auto"/>
              <w:right w:val="double" w:sz="6" w:space="0" w:color="auto"/>
            </w:tcBorders>
            <w:shd w:val="clear" w:color="auto" w:fill="auto"/>
            <w:noWrap/>
            <w:vAlign w:val="bottom"/>
            <w:hideMark/>
          </w:tcPr>
          <w:p w14:paraId="0428CE24"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23,5</w:t>
            </w:r>
          </w:p>
        </w:tc>
        <w:tc>
          <w:tcPr>
            <w:tcW w:w="746" w:type="pct"/>
            <w:tcBorders>
              <w:top w:val="nil"/>
              <w:left w:val="nil"/>
              <w:bottom w:val="single" w:sz="4" w:space="0" w:color="auto"/>
              <w:right w:val="single" w:sz="4" w:space="0" w:color="auto"/>
            </w:tcBorders>
            <w:shd w:val="clear" w:color="auto" w:fill="auto"/>
            <w:noWrap/>
            <w:vAlign w:val="bottom"/>
            <w:hideMark/>
          </w:tcPr>
          <w:p w14:paraId="2C78DD3F"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23,5</w:t>
            </w:r>
          </w:p>
        </w:tc>
        <w:tc>
          <w:tcPr>
            <w:tcW w:w="636" w:type="pct"/>
            <w:tcBorders>
              <w:top w:val="nil"/>
              <w:left w:val="nil"/>
              <w:bottom w:val="single" w:sz="4" w:space="0" w:color="auto"/>
              <w:right w:val="single" w:sz="4" w:space="0" w:color="auto"/>
            </w:tcBorders>
            <w:shd w:val="clear" w:color="auto" w:fill="auto"/>
            <w:noWrap/>
            <w:vAlign w:val="bottom"/>
            <w:hideMark/>
          </w:tcPr>
          <w:p w14:paraId="33CC8D22"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-45,0</w:t>
            </w:r>
          </w:p>
        </w:tc>
        <w:tc>
          <w:tcPr>
            <w:tcW w:w="771" w:type="pct"/>
            <w:tcBorders>
              <w:top w:val="nil"/>
              <w:left w:val="nil"/>
              <w:bottom w:val="single" w:sz="4" w:space="0" w:color="auto"/>
              <w:right w:val="single" w:sz="12" w:space="0" w:color="auto"/>
            </w:tcBorders>
            <w:shd w:val="clear" w:color="auto" w:fill="auto"/>
            <w:noWrap/>
            <w:vAlign w:val="bottom"/>
            <w:hideMark/>
          </w:tcPr>
          <w:p w14:paraId="494F239F"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-27,4</w:t>
            </w:r>
          </w:p>
        </w:tc>
      </w:tr>
      <w:tr w:rsidR="003B2986" w:rsidRPr="00E36734" w14:paraId="48F16750" w14:textId="77777777" w:rsidTr="003B2986">
        <w:trPr>
          <w:trHeight w:val="576"/>
        </w:trPr>
        <w:tc>
          <w:tcPr>
            <w:tcW w:w="691" w:type="pct"/>
            <w:vMerge/>
            <w:tcBorders>
              <w:top w:val="nil"/>
              <w:left w:val="single" w:sz="12" w:space="0" w:color="auto"/>
              <w:bottom w:val="single" w:sz="12" w:space="0" w:color="000000"/>
              <w:right w:val="single" w:sz="4" w:space="0" w:color="auto"/>
            </w:tcBorders>
            <w:vAlign w:val="center"/>
            <w:hideMark/>
          </w:tcPr>
          <w:p w14:paraId="04A7DC65" w14:textId="77777777" w:rsidR="003B2986" w:rsidRPr="00E36734" w:rsidRDefault="003B2986" w:rsidP="003B2986">
            <w:pPr>
              <w:spacing w:after="0" w:line="240" w:lineRule="auto"/>
              <w:rPr>
                <w:rFonts w:ascii="Calibri" w:eastAsia="Times New Roman" w:hAnsi="Calibri" w:cs="Calibri"/>
                <w:color w:val="000000"/>
                <w:sz w:val="18"/>
                <w:szCs w:val="18"/>
                <w:lang w:val="en-US"/>
              </w:rPr>
            </w:pPr>
          </w:p>
        </w:tc>
        <w:tc>
          <w:tcPr>
            <w:tcW w:w="741" w:type="pct"/>
            <w:tcBorders>
              <w:top w:val="nil"/>
              <w:left w:val="nil"/>
              <w:bottom w:val="single" w:sz="4" w:space="0" w:color="auto"/>
              <w:right w:val="single" w:sz="4" w:space="0" w:color="auto"/>
            </w:tcBorders>
            <w:shd w:val="clear" w:color="auto" w:fill="auto"/>
            <w:vAlign w:val="bottom"/>
            <w:hideMark/>
          </w:tcPr>
          <w:p w14:paraId="36BEB714" w14:textId="77777777" w:rsidR="003B2986" w:rsidRPr="00E36734" w:rsidRDefault="003B2986" w:rsidP="003B2986">
            <w:pPr>
              <w:spacing w:after="0" w:line="240" w:lineRule="auto"/>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Νησιά Αιγαίου &amp; Κρήτη</w:t>
            </w:r>
          </w:p>
        </w:tc>
        <w:tc>
          <w:tcPr>
            <w:tcW w:w="415" w:type="pct"/>
            <w:tcBorders>
              <w:top w:val="nil"/>
              <w:left w:val="nil"/>
              <w:bottom w:val="single" w:sz="4" w:space="0" w:color="auto"/>
              <w:right w:val="single" w:sz="4" w:space="0" w:color="auto"/>
            </w:tcBorders>
            <w:shd w:val="clear" w:color="auto" w:fill="auto"/>
            <w:noWrap/>
            <w:vAlign w:val="bottom"/>
            <w:hideMark/>
          </w:tcPr>
          <w:p w14:paraId="4D82506F"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16,3</w:t>
            </w:r>
          </w:p>
        </w:tc>
        <w:tc>
          <w:tcPr>
            <w:tcW w:w="441" w:type="pct"/>
            <w:tcBorders>
              <w:top w:val="nil"/>
              <w:left w:val="nil"/>
              <w:bottom w:val="single" w:sz="4" w:space="0" w:color="auto"/>
              <w:right w:val="single" w:sz="4" w:space="0" w:color="auto"/>
            </w:tcBorders>
            <w:shd w:val="clear" w:color="auto" w:fill="auto"/>
            <w:noWrap/>
            <w:vAlign w:val="bottom"/>
            <w:hideMark/>
          </w:tcPr>
          <w:p w14:paraId="1B5487D2"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76,9</w:t>
            </w:r>
          </w:p>
        </w:tc>
        <w:tc>
          <w:tcPr>
            <w:tcW w:w="559" w:type="pct"/>
            <w:tcBorders>
              <w:top w:val="nil"/>
              <w:left w:val="nil"/>
              <w:bottom w:val="single" w:sz="4" w:space="0" w:color="auto"/>
              <w:right w:val="double" w:sz="6" w:space="0" w:color="auto"/>
            </w:tcBorders>
            <w:shd w:val="clear" w:color="auto" w:fill="auto"/>
            <w:noWrap/>
            <w:vAlign w:val="bottom"/>
            <w:hideMark/>
          </w:tcPr>
          <w:p w14:paraId="14EB406F"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5,8</w:t>
            </w:r>
          </w:p>
        </w:tc>
        <w:tc>
          <w:tcPr>
            <w:tcW w:w="746" w:type="pct"/>
            <w:tcBorders>
              <w:top w:val="nil"/>
              <w:left w:val="nil"/>
              <w:bottom w:val="single" w:sz="4" w:space="0" w:color="auto"/>
              <w:right w:val="single" w:sz="4" w:space="0" w:color="auto"/>
            </w:tcBorders>
            <w:shd w:val="clear" w:color="auto" w:fill="auto"/>
            <w:noWrap/>
            <w:vAlign w:val="bottom"/>
            <w:hideMark/>
          </w:tcPr>
          <w:p w14:paraId="20139E32"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14,5</w:t>
            </w:r>
          </w:p>
        </w:tc>
        <w:tc>
          <w:tcPr>
            <w:tcW w:w="636" w:type="pct"/>
            <w:tcBorders>
              <w:top w:val="nil"/>
              <w:left w:val="nil"/>
              <w:bottom w:val="single" w:sz="4" w:space="0" w:color="auto"/>
              <w:right w:val="single" w:sz="4" w:space="0" w:color="auto"/>
            </w:tcBorders>
            <w:shd w:val="clear" w:color="auto" w:fill="auto"/>
            <w:noWrap/>
            <w:vAlign w:val="bottom"/>
            <w:hideMark/>
          </w:tcPr>
          <w:p w14:paraId="2BA89CA9"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-51,8</w:t>
            </w:r>
          </w:p>
        </w:tc>
        <w:tc>
          <w:tcPr>
            <w:tcW w:w="771" w:type="pct"/>
            <w:tcBorders>
              <w:top w:val="nil"/>
              <w:left w:val="nil"/>
              <w:bottom w:val="single" w:sz="4" w:space="0" w:color="auto"/>
              <w:right w:val="single" w:sz="12" w:space="0" w:color="auto"/>
            </w:tcBorders>
            <w:shd w:val="clear" w:color="auto" w:fill="auto"/>
            <w:noWrap/>
            <w:vAlign w:val="bottom"/>
            <w:hideMark/>
          </w:tcPr>
          <w:p w14:paraId="7E8ED795"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-39,9</w:t>
            </w:r>
          </w:p>
        </w:tc>
      </w:tr>
      <w:tr w:rsidR="003B2986" w:rsidRPr="00E36734" w14:paraId="1D347587" w14:textId="77777777" w:rsidTr="003B2986">
        <w:trPr>
          <w:trHeight w:val="288"/>
        </w:trPr>
        <w:tc>
          <w:tcPr>
            <w:tcW w:w="691" w:type="pct"/>
            <w:vMerge/>
            <w:tcBorders>
              <w:top w:val="nil"/>
              <w:left w:val="single" w:sz="12" w:space="0" w:color="auto"/>
              <w:bottom w:val="single" w:sz="12" w:space="0" w:color="000000"/>
              <w:right w:val="single" w:sz="4" w:space="0" w:color="auto"/>
            </w:tcBorders>
            <w:vAlign w:val="center"/>
            <w:hideMark/>
          </w:tcPr>
          <w:p w14:paraId="70154F63" w14:textId="77777777" w:rsidR="003B2986" w:rsidRPr="00E36734" w:rsidRDefault="003B2986" w:rsidP="003B2986">
            <w:pPr>
              <w:spacing w:after="0" w:line="240" w:lineRule="auto"/>
              <w:rPr>
                <w:rFonts w:ascii="Calibri" w:eastAsia="Times New Roman" w:hAnsi="Calibri" w:cs="Calibri"/>
                <w:color w:val="000000"/>
                <w:sz w:val="18"/>
                <w:szCs w:val="18"/>
                <w:lang w:val="en-US"/>
              </w:rPr>
            </w:pPr>
          </w:p>
        </w:tc>
        <w:tc>
          <w:tcPr>
            <w:tcW w:w="741" w:type="pct"/>
            <w:tcBorders>
              <w:top w:val="nil"/>
              <w:left w:val="nil"/>
              <w:bottom w:val="single" w:sz="4" w:space="0" w:color="auto"/>
              <w:right w:val="single" w:sz="4" w:space="0" w:color="auto"/>
            </w:tcBorders>
            <w:shd w:val="clear" w:color="auto" w:fill="auto"/>
            <w:vAlign w:val="center"/>
            <w:hideMark/>
          </w:tcPr>
          <w:p w14:paraId="7C93754F" w14:textId="77777777" w:rsidR="003B2986" w:rsidRPr="00E36734" w:rsidRDefault="003B2986" w:rsidP="003B2986">
            <w:pPr>
              <w:spacing w:after="0" w:line="240" w:lineRule="auto"/>
              <w:jc w:val="both"/>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Βόρεια Ελλάδα</w:t>
            </w:r>
          </w:p>
        </w:tc>
        <w:tc>
          <w:tcPr>
            <w:tcW w:w="415" w:type="pct"/>
            <w:tcBorders>
              <w:top w:val="nil"/>
              <w:left w:val="nil"/>
              <w:bottom w:val="single" w:sz="4" w:space="0" w:color="auto"/>
              <w:right w:val="single" w:sz="4" w:space="0" w:color="auto"/>
            </w:tcBorders>
            <w:shd w:val="clear" w:color="auto" w:fill="auto"/>
            <w:noWrap/>
            <w:vAlign w:val="center"/>
            <w:hideMark/>
          </w:tcPr>
          <w:p w14:paraId="40084AB7"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12,5</w:t>
            </w:r>
          </w:p>
        </w:tc>
        <w:tc>
          <w:tcPr>
            <w:tcW w:w="441" w:type="pct"/>
            <w:tcBorders>
              <w:top w:val="nil"/>
              <w:left w:val="nil"/>
              <w:bottom w:val="single" w:sz="4" w:space="0" w:color="auto"/>
              <w:right w:val="single" w:sz="4" w:space="0" w:color="auto"/>
            </w:tcBorders>
            <w:shd w:val="clear" w:color="auto" w:fill="auto"/>
            <w:noWrap/>
            <w:vAlign w:val="center"/>
            <w:hideMark/>
          </w:tcPr>
          <w:p w14:paraId="1927216E"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69,4</w:t>
            </w:r>
          </w:p>
        </w:tc>
        <w:tc>
          <w:tcPr>
            <w:tcW w:w="559" w:type="pct"/>
            <w:tcBorders>
              <w:top w:val="nil"/>
              <w:left w:val="nil"/>
              <w:bottom w:val="single" w:sz="4" w:space="0" w:color="auto"/>
              <w:right w:val="double" w:sz="6" w:space="0" w:color="auto"/>
            </w:tcBorders>
            <w:shd w:val="clear" w:color="auto" w:fill="auto"/>
            <w:noWrap/>
            <w:vAlign w:val="center"/>
            <w:hideMark/>
          </w:tcPr>
          <w:p w14:paraId="0D3A2F5D"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16,7</w:t>
            </w:r>
          </w:p>
        </w:tc>
        <w:tc>
          <w:tcPr>
            <w:tcW w:w="746" w:type="pct"/>
            <w:tcBorders>
              <w:top w:val="nil"/>
              <w:left w:val="nil"/>
              <w:bottom w:val="single" w:sz="4" w:space="0" w:color="auto"/>
              <w:right w:val="single" w:sz="4" w:space="0" w:color="auto"/>
            </w:tcBorders>
            <w:shd w:val="clear" w:color="auto" w:fill="auto"/>
            <w:noWrap/>
            <w:vAlign w:val="bottom"/>
            <w:hideMark/>
          </w:tcPr>
          <w:p w14:paraId="0C37B152"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20,0</w:t>
            </w:r>
          </w:p>
        </w:tc>
        <w:tc>
          <w:tcPr>
            <w:tcW w:w="636" w:type="pct"/>
            <w:tcBorders>
              <w:top w:val="nil"/>
              <w:left w:val="nil"/>
              <w:bottom w:val="single" w:sz="4" w:space="0" w:color="auto"/>
              <w:right w:val="single" w:sz="4" w:space="0" w:color="auto"/>
            </w:tcBorders>
            <w:shd w:val="clear" w:color="auto" w:fill="auto"/>
            <w:noWrap/>
            <w:vAlign w:val="bottom"/>
            <w:hideMark/>
          </w:tcPr>
          <w:p w14:paraId="4F9A428C"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-48,5</w:t>
            </w:r>
          </w:p>
        </w:tc>
        <w:tc>
          <w:tcPr>
            <w:tcW w:w="771" w:type="pct"/>
            <w:tcBorders>
              <w:top w:val="nil"/>
              <w:left w:val="nil"/>
              <w:bottom w:val="single" w:sz="4" w:space="0" w:color="auto"/>
              <w:right w:val="single" w:sz="12" w:space="0" w:color="auto"/>
            </w:tcBorders>
            <w:shd w:val="clear" w:color="auto" w:fill="auto"/>
            <w:noWrap/>
            <w:vAlign w:val="bottom"/>
            <w:hideMark/>
          </w:tcPr>
          <w:p w14:paraId="6BF7D1B1"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-32,7</w:t>
            </w:r>
          </w:p>
        </w:tc>
      </w:tr>
      <w:tr w:rsidR="003B2986" w:rsidRPr="00E36734" w14:paraId="23A0ABC9" w14:textId="77777777" w:rsidTr="003B2986">
        <w:trPr>
          <w:trHeight w:val="300"/>
        </w:trPr>
        <w:tc>
          <w:tcPr>
            <w:tcW w:w="691" w:type="pct"/>
            <w:vMerge/>
            <w:tcBorders>
              <w:top w:val="nil"/>
              <w:left w:val="single" w:sz="12" w:space="0" w:color="auto"/>
              <w:bottom w:val="single" w:sz="12" w:space="0" w:color="000000"/>
              <w:right w:val="single" w:sz="4" w:space="0" w:color="auto"/>
            </w:tcBorders>
            <w:vAlign w:val="center"/>
            <w:hideMark/>
          </w:tcPr>
          <w:p w14:paraId="008D8A33" w14:textId="77777777" w:rsidR="003B2986" w:rsidRPr="00E36734" w:rsidRDefault="003B2986" w:rsidP="003B2986">
            <w:pPr>
              <w:spacing w:after="0" w:line="240" w:lineRule="auto"/>
              <w:rPr>
                <w:rFonts w:ascii="Calibri" w:eastAsia="Times New Roman" w:hAnsi="Calibri" w:cs="Calibri"/>
                <w:color w:val="000000"/>
                <w:sz w:val="18"/>
                <w:szCs w:val="18"/>
                <w:lang w:val="en-US"/>
              </w:rPr>
            </w:pPr>
          </w:p>
        </w:tc>
        <w:tc>
          <w:tcPr>
            <w:tcW w:w="741" w:type="pct"/>
            <w:tcBorders>
              <w:top w:val="nil"/>
              <w:left w:val="nil"/>
              <w:bottom w:val="single" w:sz="12" w:space="0" w:color="auto"/>
              <w:right w:val="single" w:sz="4" w:space="0" w:color="auto"/>
            </w:tcBorders>
            <w:shd w:val="clear" w:color="auto" w:fill="auto"/>
            <w:vAlign w:val="center"/>
            <w:hideMark/>
          </w:tcPr>
          <w:p w14:paraId="50FB64F3" w14:textId="77777777" w:rsidR="003B2986" w:rsidRPr="00E36734" w:rsidRDefault="003B2986" w:rsidP="003B2986">
            <w:pPr>
              <w:spacing w:after="0" w:line="240" w:lineRule="auto"/>
              <w:jc w:val="both"/>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Κεντρική Ελλάδα</w:t>
            </w:r>
          </w:p>
        </w:tc>
        <w:tc>
          <w:tcPr>
            <w:tcW w:w="415" w:type="pct"/>
            <w:tcBorders>
              <w:top w:val="nil"/>
              <w:left w:val="nil"/>
              <w:bottom w:val="single" w:sz="12" w:space="0" w:color="auto"/>
              <w:right w:val="single" w:sz="4" w:space="0" w:color="auto"/>
            </w:tcBorders>
            <w:shd w:val="clear" w:color="auto" w:fill="auto"/>
            <w:noWrap/>
            <w:vAlign w:val="center"/>
            <w:hideMark/>
          </w:tcPr>
          <w:p w14:paraId="575C8E60"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9,0</w:t>
            </w:r>
          </w:p>
        </w:tc>
        <w:tc>
          <w:tcPr>
            <w:tcW w:w="441" w:type="pct"/>
            <w:tcBorders>
              <w:top w:val="nil"/>
              <w:left w:val="nil"/>
              <w:bottom w:val="single" w:sz="12" w:space="0" w:color="auto"/>
              <w:right w:val="single" w:sz="4" w:space="0" w:color="auto"/>
            </w:tcBorders>
            <w:shd w:val="clear" w:color="auto" w:fill="auto"/>
            <w:noWrap/>
            <w:vAlign w:val="center"/>
            <w:hideMark/>
          </w:tcPr>
          <w:p w14:paraId="14CEE4DA"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77,7</w:t>
            </w:r>
          </w:p>
        </w:tc>
        <w:tc>
          <w:tcPr>
            <w:tcW w:w="559" w:type="pct"/>
            <w:tcBorders>
              <w:top w:val="nil"/>
              <w:left w:val="nil"/>
              <w:bottom w:val="single" w:sz="12" w:space="0" w:color="auto"/>
              <w:right w:val="double" w:sz="6" w:space="0" w:color="auto"/>
            </w:tcBorders>
            <w:shd w:val="clear" w:color="auto" w:fill="auto"/>
            <w:noWrap/>
            <w:vAlign w:val="center"/>
            <w:hideMark/>
          </w:tcPr>
          <w:p w14:paraId="602E28DB"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12,8</w:t>
            </w:r>
          </w:p>
        </w:tc>
        <w:tc>
          <w:tcPr>
            <w:tcW w:w="746" w:type="pct"/>
            <w:tcBorders>
              <w:top w:val="nil"/>
              <w:left w:val="nil"/>
              <w:bottom w:val="single" w:sz="12" w:space="0" w:color="auto"/>
              <w:right w:val="single" w:sz="4" w:space="0" w:color="auto"/>
            </w:tcBorders>
            <w:shd w:val="clear" w:color="auto" w:fill="auto"/>
            <w:noWrap/>
            <w:vAlign w:val="bottom"/>
            <w:hideMark/>
          </w:tcPr>
          <w:p w14:paraId="65E23319"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25,0</w:t>
            </w:r>
          </w:p>
        </w:tc>
        <w:tc>
          <w:tcPr>
            <w:tcW w:w="636" w:type="pct"/>
            <w:tcBorders>
              <w:top w:val="nil"/>
              <w:left w:val="nil"/>
              <w:bottom w:val="single" w:sz="12" w:space="0" w:color="auto"/>
              <w:right w:val="single" w:sz="4" w:space="0" w:color="auto"/>
            </w:tcBorders>
            <w:shd w:val="clear" w:color="auto" w:fill="auto"/>
            <w:noWrap/>
            <w:vAlign w:val="bottom"/>
            <w:hideMark/>
          </w:tcPr>
          <w:p w14:paraId="31CF223F"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-48,5</w:t>
            </w:r>
          </w:p>
        </w:tc>
        <w:tc>
          <w:tcPr>
            <w:tcW w:w="771" w:type="pct"/>
            <w:tcBorders>
              <w:top w:val="nil"/>
              <w:left w:val="nil"/>
              <w:bottom w:val="single" w:sz="12" w:space="0" w:color="auto"/>
              <w:right w:val="single" w:sz="12" w:space="0" w:color="auto"/>
            </w:tcBorders>
            <w:shd w:val="clear" w:color="auto" w:fill="auto"/>
            <w:noWrap/>
            <w:vAlign w:val="bottom"/>
            <w:hideMark/>
          </w:tcPr>
          <w:p w14:paraId="72618E65"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-35,7</w:t>
            </w:r>
          </w:p>
        </w:tc>
      </w:tr>
      <w:tr w:rsidR="003B2986" w:rsidRPr="00E36734" w14:paraId="15785C20" w14:textId="77777777" w:rsidTr="003B2986">
        <w:trPr>
          <w:trHeight w:val="300"/>
        </w:trPr>
        <w:tc>
          <w:tcPr>
            <w:tcW w:w="691" w:type="pct"/>
            <w:vMerge w:val="restart"/>
            <w:tcBorders>
              <w:top w:val="nil"/>
              <w:left w:val="single" w:sz="12" w:space="0" w:color="auto"/>
              <w:bottom w:val="single" w:sz="12" w:space="0" w:color="000000"/>
              <w:right w:val="single" w:sz="4" w:space="0" w:color="auto"/>
            </w:tcBorders>
            <w:shd w:val="clear" w:color="auto" w:fill="auto"/>
            <w:vAlign w:val="center"/>
            <w:hideMark/>
          </w:tcPr>
          <w:p w14:paraId="65EAF17E"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ΕΤΗΣΙΟΣ ΤΖΙΡΟΣ</w:t>
            </w:r>
          </w:p>
        </w:tc>
        <w:tc>
          <w:tcPr>
            <w:tcW w:w="741" w:type="pct"/>
            <w:tcBorders>
              <w:top w:val="nil"/>
              <w:left w:val="nil"/>
              <w:bottom w:val="single" w:sz="4" w:space="0" w:color="auto"/>
              <w:right w:val="single" w:sz="4" w:space="0" w:color="auto"/>
            </w:tcBorders>
            <w:shd w:val="clear" w:color="auto" w:fill="auto"/>
            <w:vAlign w:val="center"/>
            <w:hideMark/>
          </w:tcPr>
          <w:p w14:paraId="013F66D0" w14:textId="77777777" w:rsidR="003B2986" w:rsidRPr="00E36734" w:rsidRDefault="003B2986" w:rsidP="003B2986">
            <w:pPr>
              <w:spacing w:after="0" w:line="240" w:lineRule="auto"/>
              <w:jc w:val="both"/>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Έως 50.000</w:t>
            </w:r>
          </w:p>
        </w:tc>
        <w:tc>
          <w:tcPr>
            <w:tcW w:w="415" w:type="pct"/>
            <w:tcBorders>
              <w:top w:val="nil"/>
              <w:left w:val="nil"/>
              <w:bottom w:val="single" w:sz="4" w:space="0" w:color="auto"/>
              <w:right w:val="single" w:sz="4" w:space="0" w:color="auto"/>
            </w:tcBorders>
            <w:shd w:val="clear" w:color="auto" w:fill="auto"/>
            <w:noWrap/>
            <w:vAlign w:val="center"/>
            <w:hideMark/>
          </w:tcPr>
          <w:p w14:paraId="7857EC96"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7,8</w:t>
            </w:r>
          </w:p>
        </w:tc>
        <w:tc>
          <w:tcPr>
            <w:tcW w:w="441" w:type="pct"/>
            <w:tcBorders>
              <w:top w:val="nil"/>
              <w:left w:val="nil"/>
              <w:bottom w:val="single" w:sz="4" w:space="0" w:color="auto"/>
              <w:right w:val="single" w:sz="4" w:space="0" w:color="auto"/>
            </w:tcBorders>
            <w:shd w:val="clear" w:color="auto" w:fill="auto"/>
            <w:noWrap/>
            <w:vAlign w:val="center"/>
            <w:hideMark/>
          </w:tcPr>
          <w:p w14:paraId="601C2B15"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78,2</w:t>
            </w:r>
          </w:p>
        </w:tc>
        <w:tc>
          <w:tcPr>
            <w:tcW w:w="559" w:type="pct"/>
            <w:tcBorders>
              <w:top w:val="nil"/>
              <w:left w:val="nil"/>
              <w:bottom w:val="single" w:sz="4" w:space="0" w:color="auto"/>
              <w:right w:val="double" w:sz="6" w:space="0" w:color="auto"/>
            </w:tcBorders>
            <w:shd w:val="clear" w:color="auto" w:fill="auto"/>
            <w:noWrap/>
            <w:vAlign w:val="center"/>
            <w:hideMark/>
          </w:tcPr>
          <w:p w14:paraId="33AD9BEC"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12,6</w:t>
            </w:r>
          </w:p>
        </w:tc>
        <w:tc>
          <w:tcPr>
            <w:tcW w:w="746" w:type="pct"/>
            <w:tcBorders>
              <w:top w:val="nil"/>
              <w:left w:val="nil"/>
              <w:bottom w:val="single" w:sz="4" w:space="0" w:color="auto"/>
              <w:right w:val="single" w:sz="4" w:space="0" w:color="auto"/>
            </w:tcBorders>
            <w:shd w:val="clear" w:color="auto" w:fill="auto"/>
            <w:noWrap/>
            <w:vAlign w:val="bottom"/>
            <w:hideMark/>
          </w:tcPr>
          <w:p w14:paraId="264377AA"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32,0</w:t>
            </w:r>
          </w:p>
        </w:tc>
        <w:tc>
          <w:tcPr>
            <w:tcW w:w="636" w:type="pct"/>
            <w:tcBorders>
              <w:top w:val="nil"/>
              <w:left w:val="nil"/>
              <w:bottom w:val="single" w:sz="4" w:space="0" w:color="auto"/>
              <w:right w:val="single" w:sz="4" w:space="0" w:color="auto"/>
            </w:tcBorders>
            <w:shd w:val="clear" w:color="auto" w:fill="auto"/>
            <w:noWrap/>
            <w:vAlign w:val="bottom"/>
            <w:hideMark/>
          </w:tcPr>
          <w:p w14:paraId="055280D0"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-56,0</w:t>
            </w:r>
          </w:p>
        </w:tc>
        <w:tc>
          <w:tcPr>
            <w:tcW w:w="771" w:type="pct"/>
            <w:tcBorders>
              <w:top w:val="nil"/>
              <w:left w:val="nil"/>
              <w:bottom w:val="single" w:sz="4" w:space="0" w:color="auto"/>
              <w:right w:val="single" w:sz="12" w:space="0" w:color="auto"/>
            </w:tcBorders>
            <w:shd w:val="clear" w:color="auto" w:fill="auto"/>
            <w:noWrap/>
            <w:vAlign w:val="bottom"/>
            <w:hideMark/>
          </w:tcPr>
          <w:p w14:paraId="49246D0D"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-42,2</w:t>
            </w:r>
          </w:p>
        </w:tc>
      </w:tr>
      <w:tr w:rsidR="003B2986" w:rsidRPr="00E36734" w14:paraId="1936C817" w14:textId="77777777" w:rsidTr="003B2986">
        <w:trPr>
          <w:trHeight w:val="288"/>
        </w:trPr>
        <w:tc>
          <w:tcPr>
            <w:tcW w:w="691" w:type="pct"/>
            <w:vMerge/>
            <w:tcBorders>
              <w:top w:val="nil"/>
              <w:left w:val="single" w:sz="12" w:space="0" w:color="auto"/>
              <w:bottom w:val="single" w:sz="12" w:space="0" w:color="000000"/>
              <w:right w:val="single" w:sz="4" w:space="0" w:color="auto"/>
            </w:tcBorders>
            <w:vAlign w:val="center"/>
            <w:hideMark/>
          </w:tcPr>
          <w:p w14:paraId="4572E748" w14:textId="77777777" w:rsidR="003B2986" w:rsidRPr="00E36734" w:rsidRDefault="003B2986" w:rsidP="003B2986">
            <w:pPr>
              <w:spacing w:after="0" w:line="240" w:lineRule="auto"/>
              <w:rPr>
                <w:rFonts w:ascii="Calibri" w:eastAsia="Times New Roman" w:hAnsi="Calibri" w:cs="Calibri"/>
                <w:color w:val="000000"/>
                <w:sz w:val="18"/>
                <w:szCs w:val="18"/>
                <w:lang w:val="en-US"/>
              </w:rPr>
            </w:pPr>
          </w:p>
        </w:tc>
        <w:tc>
          <w:tcPr>
            <w:tcW w:w="741" w:type="pct"/>
            <w:tcBorders>
              <w:top w:val="nil"/>
              <w:left w:val="nil"/>
              <w:bottom w:val="single" w:sz="4" w:space="0" w:color="auto"/>
              <w:right w:val="single" w:sz="4" w:space="0" w:color="auto"/>
            </w:tcBorders>
            <w:shd w:val="clear" w:color="auto" w:fill="auto"/>
            <w:vAlign w:val="center"/>
            <w:hideMark/>
          </w:tcPr>
          <w:p w14:paraId="641F7CB6" w14:textId="77777777" w:rsidR="003B2986" w:rsidRPr="00E36734" w:rsidRDefault="003B2986" w:rsidP="003B2986">
            <w:pPr>
              <w:spacing w:after="0" w:line="240" w:lineRule="auto"/>
              <w:jc w:val="both"/>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50.000 - 100.000</w:t>
            </w:r>
          </w:p>
        </w:tc>
        <w:tc>
          <w:tcPr>
            <w:tcW w:w="415" w:type="pct"/>
            <w:tcBorders>
              <w:top w:val="nil"/>
              <w:left w:val="nil"/>
              <w:bottom w:val="single" w:sz="4" w:space="0" w:color="auto"/>
              <w:right w:val="single" w:sz="4" w:space="0" w:color="auto"/>
            </w:tcBorders>
            <w:shd w:val="clear" w:color="auto" w:fill="auto"/>
            <w:noWrap/>
            <w:vAlign w:val="center"/>
            <w:hideMark/>
          </w:tcPr>
          <w:p w14:paraId="27003DDE"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11,4</w:t>
            </w:r>
          </w:p>
        </w:tc>
        <w:tc>
          <w:tcPr>
            <w:tcW w:w="441" w:type="pct"/>
            <w:tcBorders>
              <w:top w:val="nil"/>
              <w:left w:val="nil"/>
              <w:bottom w:val="single" w:sz="4" w:space="0" w:color="auto"/>
              <w:right w:val="single" w:sz="4" w:space="0" w:color="auto"/>
            </w:tcBorders>
            <w:shd w:val="clear" w:color="auto" w:fill="auto"/>
            <w:noWrap/>
            <w:vAlign w:val="center"/>
            <w:hideMark/>
          </w:tcPr>
          <w:p w14:paraId="4F5228C4"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70,5</w:t>
            </w:r>
          </w:p>
        </w:tc>
        <w:tc>
          <w:tcPr>
            <w:tcW w:w="559" w:type="pct"/>
            <w:tcBorders>
              <w:top w:val="nil"/>
              <w:left w:val="nil"/>
              <w:bottom w:val="single" w:sz="4" w:space="0" w:color="auto"/>
              <w:right w:val="double" w:sz="6" w:space="0" w:color="auto"/>
            </w:tcBorders>
            <w:shd w:val="clear" w:color="auto" w:fill="auto"/>
            <w:noWrap/>
            <w:vAlign w:val="center"/>
            <w:hideMark/>
          </w:tcPr>
          <w:p w14:paraId="1DF2CD1C"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16,8</w:t>
            </w:r>
          </w:p>
        </w:tc>
        <w:tc>
          <w:tcPr>
            <w:tcW w:w="746" w:type="pct"/>
            <w:tcBorders>
              <w:top w:val="nil"/>
              <w:left w:val="nil"/>
              <w:bottom w:val="single" w:sz="4" w:space="0" w:color="auto"/>
              <w:right w:val="single" w:sz="4" w:space="0" w:color="auto"/>
            </w:tcBorders>
            <w:shd w:val="clear" w:color="auto" w:fill="auto"/>
            <w:noWrap/>
            <w:vAlign w:val="bottom"/>
            <w:hideMark/>
          </w:tcPr>
          <w:p w14:paraId="06B35FDA"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16,4</w:t>
            </w:r>
          </w:p>
        </w:tc>
        <w:tc>
          <w:tcPr>
            <w:tcW w:w="636" w:type="pct"/>
            <w:tcBorders>
              <w:top w:val="nil"/>
              <w:left w:val="nil"/>
              <w:bottom w:val="single" w:sz="4" w:space="0" w:color="auto"/>
              <w:right w:val="single" w:sz="4" w:space="0" w:color="auto"/>
            </w:tcBorders>
            <w:shd w:val="clear" w:color="auto" w:fill="auto"/>
            <w:noWrap/>
            <w:vAlign w:val="bottom"/>
            <w:hideMark/>
          </w:tcPr>
          <w:p w14:paraId="2A70D5E9"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-42,2</w:t>
            </w:r>
          </w:p>
        </w:tc>
        <w:tc>
          <w:tcPr>
            <w:tcW w:w="771" w:type="pct"/>
            <w:tcBorders>
              <w:top w:val="nil"/>
              <w:left w:val="nil"/>
              <w:bottom w:val="single" w:sz="4" w:space="0" w:color="auto"/>
              <w:right w:val="single" w:sz="12" w:space="0" w:color="auto"/>
            </w:tcBorders>
            <w:shd w:val="clear" w:color="auto" w:fill="auto"/>
            <w:noWrap/>
            <w:vAlign w:val="bottom"/>
            <w:hideMark/>
          </w:tcPr>
          <w:p w14:paraId="45CB0976"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-29,4</w:t>
            </w:r>
          </w:p>
        </w:tc>
      </w:tr>
      <w:tr w:rsidR="003B2986" w:rsidRPr="00E36734" w14:paraId="72265665" w14:textId="77777777" w:rsidTr="003B2986">
        <w:trPr>
          <w:trHeight w:val="288"/>
        </w:trPr>
        <w:tc>
          <w:tcPr>
            <w:tcW w:w="691" w:type="pct"/>
            <w:vMerge/>
            <w:tcBorders>
              <w:top w:val="nil"/>
              <w:left w:val="single" w:sz="12" w:space="0" w:color="auto"/>
              <w:bottom w:val="single" w:sz="12" w:space="0" w:color="000000"/>
              <w:right w:val="single" w:sz="4" w:space="0" w:color="auto"/>
            </w:tcBorders>
            <w:vAlign w:val="center"/>
            <w:hideMark/>
          </w:tcPr>
          <w:p w14:paraId="65A6D420" w14:textId="77777777" w:rsidR="003B2986" w:rsidRPr="00E36734" w:rsidRDefault="003B2986" w:rsidP="003B2986">
            <w:pPr>
              <w:spacing w:after="0" w:line="240" w:lineRule="auto"/>
              <w:rPr>
                <w:rFonts w:ascii="Calibri" w:eastAsia="Times New Roman" w:hAnsi="Calibri" w:cs="Calibri"/>
                <w:color w:val="000000"/>
                <w:sz w:val="18"/>
                <w:szCs w:val="18"/>
                <w:lang w:val="en-US"/>
              </w:rPr>
            </w:pPr>
          </w:p>
        </w:tc>
        <w:tc>
          <w:tcPr>
            <w:tcW w:w="741" w:type="pct"/>
            <w:tcBorders>
              <w:top w:val="nil"/>
              <w:left w:val="nil"/>
              <w:bottom w:val="single" w:sz="4" w:space="0" w:color="auto"/>
              <w:right w:val="single" w:sz="4" w:space="0" w:color="auto"/>
            </w:tcBorders>
            <w:shd w:val="clear" w:color="auto" w:fill="auto"/>
            <w:vAlign w:val="bottom"/>
            <w:hideMark/>
          </w:tcPr>
          <w:p w14:paraId="4C24AB30" w14:textId="77777777" w:rsidR="003B2986" w:rsidRPr="00E36734" w:rsidRDefault="003B2986" w:rsidP="003B2986">
            <w:pPr>
              <w:spacing w:after="0" w:line="240" w:lineRule="auto"/>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100.000 - 300.000</w:t>
            </w:r>
          </w:p>
        </w:tc>
        <w:tc>
          <w:tcPr>
            <w:tcW w:w="415" w:type="pct"/>
            <w:tcBorders>
              <w:top w:val="nil"/>
              <w:left w:val="nil"/>
              <w:bottom w:val="single" w:sz="4" w:space="0" w:color="auto"/>
              <w:right w:val="single" w:sz="4" w:space="0" w:color="auto"/>
            </w:tcBorders>
            <w:shd w:val="clear" w:color="auto" w:fill="auto"/>
            <w:noWrap/>
            <w:vAlign w:val="bottom"/>
            <w:hideMark/>
          </w:tcPr>
          <w:p w14:paraId="35C828EE"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8,7</w:t>
            </w:r>
          </w:p>
        </w:tc>
        <w:tc>
          <w:tcPr>
            <w:tcW w:w="441" w:type="pct"/>
            <w:tcBorders>
              <w:top w:val="nil"/>
              <w:left w:val="nil"/>
              <w:bottom w:val="single" w:sz="4" w:space="0" w:color="auto"/>
              <w:right w:val="single" w:sz="4" w:space="0" w:color="auto"/>
            </w:tcBorders>
            <w:shd w:val="clear" w:color="auto" w:fill="auto"/>
            <w:noWrap/>
            <w:vAlign w:val="bottom"/>
            <w:hideMark/>
          </w:tcPr>
          <w:p w14:paraId="5AD6F9CB"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73,9</w:t>
            </w:r>
          </w:p>
        </w:tc>
        <w:tc>
          <w:tcPr>
            <w:tcW w:w="559" w:type="pct"/>
            <w:tcBorders>
              <w:top w:val="nil"/>
              <w:left w:val="nil"/>
              <w:bottom w:val="single" w:sz="4" w:space="0" w:color="auto"/>
              <w:right w:val="double" w:sz="6" w:space="0" w:color="auto"/>
            </w:tcBorders>
            <w:shd w:val="clear" w:color="auto" w:fill="auto"/>
            <w:noWrap/>
            <w:vAlign w:val="bottom"/>
            <w:hideMark/>
          </w:tcPr>
          <w:p w14:paraId="0439B798"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16,5</w:t>
            </w:r>
          </w:p>
        </w:tc>
        <w:tc>
          <w:tcPr>
            <w:tcW w:w="746" w:type="pct"/>
            <w:tcBorders>
              <w:top w:val="nil"/>
              <w:left w:val="nil"/>
              <w:bottom w:val="single" w:sz="4" w:space="0" w:color="auto"/>
              <w:right w:val="single" w:sz="4" w:space="0" w:color="auto"/>
            </w:tcBorders>
            <w:shd w:val="clear" w:color="auto" w:fill="auto"/>
            <w:noWrap/>
            <w:vAlign w:val="bottom"/>
            <w:hideMark/>
          </w:tcPr>
          <w:p w14:paraId="3544E357"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15,6</w:t>
            </w:r>
          </w:p>
        </w:tc>
        <w:tc>
          <w:tcPr>
            <w:tcW w:w="636" w:type="pct"/>
            <w:tcBorders>
              <w:top w:val="nil"/>
              <w:left w:val="nil"/>
              <w:bottom w:val="single" w:sz="4" w:space="0" w:color="auto"/>
              <w:right w:val="single" w:sz="4" w:space="0" w:color="auto"/>
            </w:tcBorders>
            <w:shd w:val="clear" w:color="auto" w:fill="auto"/>
            <w:noWrap/>
            <w:vAlign w:val="bottom"/>
            <w:hideMark/>
          </w:tcPr>
          <w:p w14:paraId="2ED23F06"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-41,8</w:t>
            </w:r>
          </w:p>
        </w:tc>
        <w:tc>
          <w:tcPr>
            <w:tcW w:w="771" w:type="pct"/>
            <w:tcBorders>
              <w:top w:val="nil"/>
              <w:left w:val="nil"/>
              <w:bottom w:val="single" w:sz="4" w:space="0" w:color="auto"/>
              <w:right w:val="single" w:sz="12" w:space="0" w:color="auto"/>
            </w:tcBorders>
            <w:shd w:val="clear" w:color="auto" w:fill="auto"/>
            <w:noWrap/>
            <w:vAlign w:val="bottom"/>
            <w:hideMark/>
          </w:tcPr>
          <w:p w14:paraId="52C8886B"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-30,1</w:t>
            </w:r>
          </w:p>
        </w:tc>
      </w:tr>
      <w:tr w:rsidR="003B2986" w:rsidRPr="00E36734" w14:paraId="5B8ED38D" w14:textId="77777777" w:rsidTr="003B2986">
        <w:trPr>
          <w:trHeight w:val="300"/>
        </w:trPr>
        <w:tc>
          <w:tcPr>
            <w:tcW w:w="691" w:type="pct"/>
            <w:vMerge/>
            <w:tcBorders>
              <w:top w:val="nil"/>
              <w:left w:val="single" w:sz="12" w:space="0" w:color="auto"/>
              <w:bottom w:val="single" w:sz="12" w:space="0" w:color="000000"/>
              <w:right w:val="single" w:sz="4" w:space="0" w:color="auto"/>
            </w:tcBorders>
            <w:vAlign w:val="center"/>
            <w:hideMark/>
          </w:tcPr>
          <w:p w14:paraId="43CD659D" w14:textId="77777777" w:rsidR="003B2986" w:rsidRPr="00E36734" w:rsidRDefault="003B2986" w:rsidP="003B2986">
            <w:pPr>
              <w:spacing w:after="0" w:line="240" w:lineRule="auto"/>
              <w:rPr>
                <w:rFonts w:ascii="Calibri" w:eastAsia="Times New Roman" w:hAnsi="Calibri" w:cs="Calibri"/>
                <w:color w:val="000000"/>
                <w:sz w:val="18"/>
                <w:szCs w:val="18"/>
                <w:lang w:val="en-US"/>
              </w:rPr>
            </w:pPr>
          </w:p>
        </w:tc>
        <w:tc>
          <w:tcPr>
            <w:tcW w:w="741" w:type="pct"/>
            <w:tcBorders>
              <w:top w:val="nil"/>
              <w:left w:val="nil"/>
              <w:bottom w:val="single" w:sz="12" w:space="0" w:color="auto"/>
              <w:right w:val="single" w:sz="4" w:space="0" w:color="auto"/>
            </w:tcBorders>
            <w:shd w:val="clear" w:color="auto" w:fill="auto"/>
            <w:vAlign w:val="bottom"/>
            <w:hideMark/>
          </w:tcPr>
          <w:p w14:paraId="39C01ADE" w14:textId="77777777" w:rsidR="003B2986" w:rsidRPr="00E36734" w:rsidRDefault="003B2986" w:rsidP="003B2986">
            <w:pPr>
              <w:spacing w:after="0" w:line="240" w:lineRule="auto"/>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Πάνω από 300.000</w:t>
            </w:r>
          </w:p>
        </w:tc>
        <w:tc>
          <w:tcPr>
            <w:tcW w:w="415" w:type="pct"/>
            <w:tcBorders>
              <w:top w:val="nil"/>
              <w:left w:val="nil"/>
              <w:bottom w:val="single" w:sz="12" w:space="0" w:color="auto"/>
              <w:right w:val="single" w:sz="4" w:space="0" w:color="auto"/>
            </w:tcBorders>
            <w:shd w:val="clear" w:color="auto" w:fill="auto"/>
            <w:noWrap/>
            <w:vAlign w:val="bottom"/>
            <w:hideMark/>
          </w:tcPr>
          <w:p w14:paraId="19D38088"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23,2</w:t>
            </w:r>
          </w:p>
        </w:tc>
        <w:tc>
          <w:tcPr>
            <w:tcW w:w="441" w:type="pct"/>
            <w:tcBorders>
              <w:top w:val="nil"/>
              <w:left w:val="nil"/>
              <w:bottom w:val="single" w:sz="12" w:space="0" w:color="auto"/>
              <w:right w:val="single" w:sz="4" w:space="0" w:color="auto"/>
            </w:tcBorders>
            <w:shd w:val="clear" w:color="auto" w:fill="auto"/>
            <w:noWrap/>
            <w:vAlign w:val="bottom"/>
            <w:hideMark/>
          </w:tcPr>
          <w:p w14:paraId="61F698A0"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50,7</w:t>
            </w:r>
          </w:p>
        </w:tc>
        <w:tc>
          <w:tcPr>
            <w:tcW w:w="559" w:type="pct"/>
            <w:tcBorders>
              <w:top w:val="nil"/>
              <w:left w:val="nil"/>
              <w:bottom w:val="single" w:sz="12" w:space="0" w:color="auto"/>
              <w:right w:val="double" w:sz="6" w:space="0" w:color="auto"/>
            </w:tcBorders>
            <w:shd w:val="clear" w:color="auto" w:fill="auto"/>
            <w:noWrap/>
            <w:vAlign w:val="bottom"/>
            <w:hideMark/>
          </w:tcPr>
          <w:p w14:paraId="4C4A2D4F"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24,6</w:t>
            </w:r>
          </w:p>
        </w:tc>
        <w:tc>
          <w:tcPr>
            <w:tcW w:w="746" w:type="pct"/>
            <w:tcBorders>
              <w:top w:val="nil"/>
              <w:left w:val="nil"/>
              <w:bottom w:val="single" w:sz="12" w:space="0" w:color="auto"/>
              <w:right w:val="single" w:sz="4" w:space="0" w:color="auto"/>
            </w:tcBorders>
            <w:shd w:val="clear" w:color="auto" w:fill="auto"/>
            <w:noWrap/>
            <w:vAlign w:val="bottom"/>
            <w:hideMark/>
          </w:tcPr>
          <w:p w14:paraId="54B8FADA"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16,6</w:t>
            </w:r>
          </w:p>
        </w:tc>
        <w:tc>
          <w:tcPr>
            <w:tcW w:w="636" w:type="pct"/>
            <w:tcBorders>
              <w:top w:val="nil"/>
              <w:left w:val="nil"/>
              <w:bottom w:val="single" w:sz="12" w:space="0" w:color="auto"/>
              <w:right w:val="single" w:sz="4" w:space="0" w:color="auto"/>
            </w:tcBorders>
            <w:shd w:val="clear" w:color="auto" w:fill="auto"/>
            <w:noWrap/>
            <w:vAlign w:val="bottom"/>
            <w:hideMark/>
          </w:tcPr>
          <w:p w14:paraId="577C5E27"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-32,2</w:t>
            </w:r>
          </w:p>
        </w:tc>
        <w:tc>
          <w:tcPr>
            <w:tcW w:w="771" w:type="pct"/>
            <w:tcBorders>
              <w:top w:val="nil"/>
              <w:left w:val="nil"/>
              <w:bottom w:val="single" w:sz="12" w:space="0" w:color="auto"/>
              <w:right w:val="single" w:sz="12" w:space="0" w:color="auto"/>
            </w:tcBorders>
            <w:shd w:val="clear" w:color="auto" w:fill="auto"/>
            <w:noWrap/>
            <w:vAlign w:val="bottom"/>
            <w:hideMark/>
          </w:tcPr>
          <w:p w14:paraId="5934D9A7"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-13,3</w:t>
            </w:r>
          </w:p>
        </w:tc>
      </w:tr>
      <w:tr w:rsidR="003B2986" w:rsidRPr="00E36734" w14:paraId="29F36FCB" w14:textId="77777777" w:rsidTr="003B2986">
        <w:trPr>
          <w:trHeight w:val="300"/>
        </w:trPr>
        <w:tc>
          <w:tcPr>
            <w:tcW w:w="691" w:type="pct"/>
            <w:vMerge w:val="restart"/>
            <w:tcBorders>
              <w:top w:val="nil"/>
              <w:left w:val="single" w:sz="12" w:space="0" w:color="auto"/>
              <w:bottom w:val="single" w:sz="12" w:space="0" w:color="000000"/>
              <w:right w:val="single" w:sz="4" w:space="0" w:color="auto"/>
            </w:tcBorders>
            <w:shd w:val="clear" w:color="auto" w:fill="auto"/>
            <w:vAlign w:val="center"/>
            <w:hideMark/>
          </w:tcPr>
          <w:p w14:paraId="1156BA0B"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ΑΡΙΘΜΟΣ ΕΡΓΑΖΟΜΕΝΩΝ</w:t>
            </w:r>
          </w:p>
        </w:tc>
        <w:tc>
          <w:tcPr>
            <w:tcW w:w="741" w:type="pct"/>
            <w:tcBorders>
              <w:top w:val="nil"/>
              <w:left w:val="nil"/>
              <w:bottom w:val="single" w:sz="4" w:space="0" w:color="auto"/>
              <w:right w:val="single" w:sz="4" w:space="0" w:color="auto"/>
            </w:tcBorders>
            <w:shd w:val="clear" w:color="auto" w:fill="auto"/>
            <w:vAlign w:val="bottom"/>
            <w:hideMark/>
          </w:tcPr>
          <w:p w14:paraId="472BE81A" w14:textId="77777777" w:rsidR="003B2986" w:rsidRPr="00E36734" w:rsidRDefault="003B2986" w:rsidP="003B2986">
            <w:pPr>
              <w:spacing w:after="0" w:line="240" w:lineRule="auto"/>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Χωρίς προσωπικό</w:t>
            </w:r>
          </w:p>
        </w:tc>
        <w:tc>
          <w:tcPr>
            <w:tcW w:w="415" w:type="pct"/>
            <w:tcBorders>
              <w:top w:val="nil"/>
              <w:left w:val="nil"/>
              <w:bottom w:val="single" w:sz="4" w:space="0" w:color="auto"/>
              <w:right w:val="single" w:sz="4" w:space="0" w:color="auto"/>
            </w:tcBorders>
            <w:shd w:val="clear" w:color="auto" w:fill="auto"/>
            <w:noWrap/>
            <w:vAlign w:val="bottom"/>
            <w:hideMark/>
          </w:tcPr>
          <w:p w14:paraId="7A73F872"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10,5</w:t>
            </w:r>
          </w:p>
        </w:tc>
        <w:tc>
          <w:tcPr>
            <w:tcW w:w="441" w:type="pct"/>
            <w:tcBorders>
              <w:top w:val="nil"/>
              <w:left w:val="nil"/>
              <w:bottom w:val="single" w:sz="4" w:space="0" w:color="auto"/>
              <w:right w:val="single" w:sz="4" w:space="0" w:color="auto"/>
            </w:tcBorders>
            <w:shd w:val="clear" w:color="auto" w:fill="auto"/>
            <w:noWrap/>
            <w:vAlign w:val="bottom"/>
            <w:hideMark/>
          </w:tcPr>
          <w:p w14:paraId="4E0F26CC"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75,6</w:t>
            </w:r>
          </w:p>
        </w:tc>
        <w:tc>
          <w:tcPr>
            <w:tcW w:w="559" w:type="pct"/>
            <w:tcBorders>
              <w:top w:val="nil"/>
              <w:left w:val="nil"/>
              <w:bottom w:val="single" w:sz="4" w:space="0" w:color="auto"/>
              <w:right w:val="double" w:sz="6" w:space="0" w:color="auto"/>
            </w:tcBorders>
            <w:shd w:val="clear" w:color="auto" w:fill="auto"/>
            <w:noWrap/>
            <w:vAlign w:val="bottom"/>
            <w:hideMark/>
          </w:tcPr>
          <w:p w14:paraId="365043D7"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12,4</w:t>
            </w:r>
          </w:p>
        </w:tc>
        <w:tc>
          <w:tcPr>
            <w:tcW w:w="746" w:type="pct"/>
            <w:tcBorders>
              <w:top w:val="nil"/>
              <w:left w:val="nil"/>
              <w:bottom w:val="single" w:sz="4" w:space="0" w:color="auto"/>
              <w:right w:val="single" w:sz="4" w:space="0" w:color="auto"/>
            </w:tcBorders>
            <w:shd w:val="clear" w:color="auto" w:fill="auto"/>
            <w:noWrap/>
            <w:vAlign w:val="bottom"/>
            <w:hideMark/>
          </w:tcPr>
          <w:p w14:paraId="40475FE1"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25,7</w:t>
            </w:r>
          </w:p>
        </w:tc>
        <w:tc>
          <w:tcPr>
            <w:tcW w:w="636" w:type="pct"/>
            <w:tcBorders>
              <w:top w:val="nil"/>
              <w:left w:val="nil"/>
              <w:bottom w:val="single" w:sz="4" w:space="0" w:color="auto"/>
              <w:right w:val="single" w:sz="4" w:space="0" w:color="auto"/>
            </w:tcBorders>
            <w:shd w:val="clear" w:color="auto" w:fill="auto"/>
            <w:noWrap/>
            <w:vAlign w:val="bottom"/>
            <w:hideMark/>
          </w:tcPr>
          <w:p w14:paraId="0D360D3D"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-55,2</w:t>
            </w:r>
          </w:p>
        </w:tc>
        <w:tc>
          <w:tcPr>
            <w:tcW w:w="771" w:type="pct"/>
            <w:tcBorders>
              <w:top w:val="nil"/>
              <w:left w:val="nil"/>
              <w:bottom w:val="single" w:sz="4" w:space="0" w:color="auto"/>
              <w:right w:val="single" w:sz="12" w:space="0" w:color="auto"/>
            </w:tcBorders>
            <w:shd w:val="clear" w:color="auto" w:fill="auto"/>
            <w:noWrap/>
            <w:vAlign w:val="bottom"/>
            <w:hideMark/>
          </w:tcPr>
          <w:p w14:paraId="6DA6901C"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-41,4</w:t>
            </w:r>
          </w:p>
        </w:tc>
      </w:tr>
      <w:tr w:rsidR="003B2986" w:rsidRPr="00E36734" w14:paraId="56729DF5" w14:textId="77777777" w:rsidTr="003B2986">
        <w:trPr>
          <w:trHeight w:val="288"/>
        </w:trPr>
        <w:tc>
          <w:tcPr>
            <w:tcW w:w="691" w:type="pct"/>
            <w:vMerge/>
            <w:tcBorders>
              <w:top w:val="nil"/>
              <w:left w:val="single" w:sz="12" w:space="0" w:color="auto"/>
              <w:bottom w:val="single" w:sz="12" w:space="0" w:color="000000"/>
              <w:right w:val="single" w:sz="4" w:space="0" w:color="auto"/>
            </w:tcBorders>
            <w:vAlign w:val="center"/>
            <w:hideMark/>
          </w:tcPr>
          <w:p w14:paraId="7B148EB1" w14:textId="77777777" w:rsidR="003B2986" w:rsidRPr="00E36734" w:rsidRDefault="003B2986" w:rsidP="003B2986">
            <w:pPr>
              <w:spacing w:after="0" w:line="240" w:lineRule="auto"/>
              <w:rPr>
                <w:rFonts w:ascii="Calibri" w:eastAsia="Times New Roman" w:hAnsi="Calibri" w:cs="Calibri"/>
                <w:color w:val="000000"/>
                <w:sz w:val="18"/>
                <w:szCs w:val="18"/>
                <w:lang w:val="en-US"/>
              </w:rPr>
            </w:pPr>
          </w:p>
        </w:tc>
        <w:tc>
          <w:tcPr>
            <w:tcW w:w="741" w:type="pct"/>
            <w:tcBorders>
              <w:top w:val="nil"/>
              <w:left w:val="nil"/>
              <w:bottom w:val="single" w:sz="4" w:space="0" w:color="auto"/>
              <w:right w:val="single" w:sz="4" w:space="0" w:color="auto"/>
            </w:tcBorders>
            <w:shd w:val="clear" w:color="auto" w:fill="auto"/>
            <w:vAlign w:val="bottom"/>
            <w:hideMark/>
          </w:tcPr>
          <w:p w14:paraId="5EB3153C" w14:textId="77777777" w:rsidR="003B2986" w:rsidRPr="00E36734" w:rsidRDefault="003B2986" w:rsidP="003B2986">
            <w:pPr>
              <w:spacing w:after="0" w:line="240" w:lineRule="auto"/>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 άτομο</w:t>
            </w:r>
          </w:p>
        </w:tc>
        <w:tc>
          <w:tcPr>
            <w:tcW w:w="415" w:type="pct"/>
            <w:tcBorders>
              <w:top w:val="nil"/>
              <w:left w:val="nil"/>
              <w:bottom w:val="single" w:sz="4" w:space="0" w:color="auto"/>
              <w:right w:val="single" w:sz="4" w:space="0" w:color="auto"/>
            </w:tcBorders>
            <w:shd w:val="clear" w:color="auto" w:fill="auto"/>
            <w:noWrap/>
            <w:vAlign w:val="bottom"/>
            <w:hideMark/>
          </w:tcPr>
          <w:p w14:paraId="17427F3B"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7,4</w:t>
            </w:r>
          </w:p>
        </w:tc>
        <w:tc>
          <w:tcPr>
            <w:tcW w:w="441" w:type="pct"/>
            <w:tcBorders>
              <w:top w:val="nil"/>
              <w:left w:val="nil"/>
              <w:bottom w:val="single" w:sz="4" w:space="0" w:color="auto"/>
              <w:right w:val="single" w:sz="4" w:space="0" w:color="auto"/>
            </w:tcBorders>
            <w:shd w:val="clear" w:color="auto" w:fill="auto"/>
            <w:noWrap/>
            <w:vAlign w:val="bottom"/>
            <w:hideMark/>
          </w:tcPr>
          <w:p w14:paraId="6D17CB81"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76,5</w:t>
            </w:r>
          </w:p>
        </w:tc>
        <w:tc>
          <w:tcPr>
            <w:tcW w:w="559" w:type="pct"/>
            <w:tcBorders>
              <w:top w:val="nil"/>
              <w:left w:val="nil"/>
              <w:bottom w:val="single" w:sz="4" w:space="0" w:color="auto"/>
              <w:right w:val="double" w:sz="6" w:space="0" w:color="auto"/>
            </w:tcBorders>
            <w:shd w:val="clear" w:color="auto" w:fill="auto"/>
            <w:noWrap/>
            <w:vAlign w:val="bottom"/>
            <w:hideMark/>
          </w:tcPr>
          <w:p w14:paraId="44E7023C"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14,1</w:t>
            </w:r>
          </w:p>
        </w:tc>
        <w:tc>
          <w:tcPr>
            <w:tcW w:w="746" w:type="pct"/>
            <w:tcBorders>
              <w:top w:val="nil"/>
              <w:left w:val="nil"/>
              <w:bottom w:val="single" w:sz="4" w:space="0" w:color="auto"/>
              <w:right w:val="single" w:sz="4" w:space="0" w:color="auto"/>
            </w:tcBorders>
            <w:shd w:val="clear" w:color="auto" w:fill="auto"/>
            <w:noWrap/>
            <w:vAlign w:val="bottom"/>
            <w:hideMark/>
          </w:tcPr>
          <w:p w14:paraId="6D4D80B3"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25,0</w:t>
            </w:r>
          </w:p>
        </w:tc>
        <w:tc>
          <w:tcPr>
            <w:tcW w:w="636" w:type="pct"/>
            <w:tcBorders>
              <w:top w:val="nil"/>
              <w:left w:val="nil"/>
              <w:bottom w:val="single" w:sz="4" w:space="0" w:color="auto"/>
              <w:right w:val="single" w:sz="4" w:space="0" w:color="auto"/>
            </w:tcBorders>
            <w:shd w:val="clear" w:color="auto" w:fill="auto"/>
            <w:noWrap/>
            <w:vAlign w:val="bottom"/>
            <w:hideMark/>
          </w:tcPr>
          <w:p w14:paraId="514F491D"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-46,9</w:t>
            </w:r>
          </w:p>
        </w:tc>
        <w:tc>
          <w:tcPr>
            <w:tcW w:w="771" w:type="pct"/>
            <w:tcBorders>
              <w:top w:val="nil"/>
              <w:left w:val="nil"/>
              <w:bottom w:val="single" w:sz="4" w:space="0" w:color="auto"/>
              <w:right w:val="single" w:sz="12" w:space="0" w:color="auto"/>
            </w:tcBorders>
            <w:shd w:val="clear" w:color="auto" w:fill="auto"/>
            <w:noWrap/>
            <w:vAlign w:val="bottom"/>
            <w:hideMark/>
          </w:tcPr>
          <w:p w14:paraId="69B4C190"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-34,6</w:t>
            </w:r>
          </w:p>
        </w:tc>
      </w:tr>
      <w:tr w:rsidR="003B2986" w:rsidRPr="00E36734" w14:paraId="4CC696D8" w14:textId="77777777" w:rsidTr="003B2986">
        <w:trPr>
          <w:trHeight w:val="288"/>
        </w:trPr>
        <w:tc>
          <w:tcPr>
            <w:tcW w:w="691" w:type="pct"/>
            <w:vMerge/>
            <w:tcBorders>
              <w:top w:val="nil"/>
              <w:left w:val="single" w:sz="12" w:space="0" w:color="auto"/>
              <w:bottom w:val="single" w:sz="12" w:space="0" w:color="000000"/>
              <w:right w:val="single" w:sz="4" w:space="0" w:color="auto"/>
            </w:tcBorders>
            <w:vAlign w:val="center"/>
            <w:hideMark/>
          </w:tcPr>
          <w:p w14:paraId="0622A862" w14:textId="77777777" w:rsidR="003B2986" w:rsidRPr="00E36734" w:rsidRDefault="003B2986" w:rsidP="003B2986">
            <w:pPr>
              <w:spacing w:after="0" w:line="240" w:lineRule="auto"/>
              <w:rPr>
                <w:rFonts w:ascii="Calibri" w:eastAsia="Times New Roman" w:hAnsi="Calibri" w:cs="Calibri"/>
                <w:color w:val="000000"/>
                <w:sz w:val="18"/>
                <w:szCs w:val="18"/>
                <w:lang w:val="en-US"/>
              </w:rPr>
            </w:pPr>
          </w:p>
        </w:tc>
        <w:tc>
          <w:tcPr>
            <w:tcW w:w="741" w:type="pct"/>
            <w:tcBorders>
              <w:top w:val="nil"/>
              <w:left w:val="nil"/>
              <w:bottom w:val="single" w:sz="4" w:space="0" w:color="auto"/>
              <w:right w:val="single" w:sz="4" w:space="0" w:color="auto"/>
            </w:tcBorders>
            <w:shd w:val="clear" w:color="auto" w:fill="auto"/>
            <w:vAlign w:val="bottom"/>
            <w:hideMark/>
          </w:tcPr>
          <w:p w14:paraId="7AA26C0C" w14:textId="77777777" w:rsidR="003B2986" w:rsidRPr="00E36734" w:rsidRDefault="003B2986" w:rsidP="003B2986">
            <w:pPr>
              <w:spacing w:after="0" w:line="240" w:lineRule="auto"/>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2-3 άτομα</w:t>
            </w:r>
          </w:p>
        </w:tc>
        <w:tc>
          <w:tcPr>
            <w:tcW w:w="415" w:type="pct"/>
            <w:tcBorders>
              <w:top w:val="nil"/>
              <w:left w:val="nil"/>
              <w:bottom w:val="single" w:sz="4" w:space="0" w:color="auto"/>
              <w:right w:val="single" w:sz="4" w:space="0" w:color="auto"/>
            </w:tcBorders>
            <w:shd w:val="clear" w:color="auto" w:fill="auto"/>
            <w:noWrap/>
            <w:vAlign w:val="bottom"/>
            <w:hideMark/>
          </w:tcPr>
          <w:p w14:paraId="44180E42"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9,2</w:t>
            </w:r>
          </w:p>
        </w:tc>
        <w:tc>
          <w:tcPr>
            <w:tcW w:w="441" w:type="pct"/>
            <w:tcBorders>
              <w:top w:val="nil"/>
              <w:left w:val="nil"/>
              <w:bottom w:val="single" w:sz="4" w:space="0" w:color="auto"/>
              <w:right w:val="single" w:sz="4" w:space="0" w:color="auto"/>
            </w:tcBorders>
            <w:shd w:val="clear" w:color="auto" w:fill="auto"/>
            <w:noWrap/>
            <w:vAlign w:val="bottom"/>
            <w:hideMark/>
          </w:tcPr>
          <w:p w14:paraId="69E7C43A"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68,1</w:t>
            </w:r>
          </w:p>
        </w:tc>
        <w:tc>
          <w:tcPr>
            <w:tcW w:w="559" w:type="pct"/>
            <w:tcBorders>
              <w:top w:val="nil"/>
              <w:left w:val="nil"/>
              <w:bottom w:val="single" w:sz="4" w:space="0" w:color="auto"/>
              <w:right w:val="double" w:sz="6" w:space="0" w:color="auto"/>
            </w:tcBorders>
            <w:shd w:val="clear" w:color="auto" w:fill="auto"/>
            <w:noWrap/>
            <w:vAlign w:val="bottom"/>
            <w:hideMark/>
          </w:tcPr>
          <w:p w14:paraId="7B5FE57E"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22,1</w:t>
            </w:r>
          </w:p>
        </w:tc>
        <w:tc>
          <w:tcPr>
            <w:tcW w:w="746" w:type="pct"/>
            <w:tcBorders>
              <w:top w:val="nil"/>
              <w:left w:val="nil"/>
              <w:bottom w:val="single" w:sz="4" w:space="0" w:color="auto"/>
              <w:right w:val="single" w:sz="4" w:space="0" w:color="auto"/>
            </w:tcBorders>
            <w:shd w:val="clear" w:color="auto" w:fill="auto"/>
            <w:noWrap/>
            <w:vAlign w:val="bottom"/>
            <w:hideMark/>
          </w:tcPr>
          <w:p w14:paraId="28F41FB7"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15,5</w:t>
            </w:r>
          </w:p>
        </w:tc>
        <w:tc>
          <w:tcPr>
            <w:tcW w:w="636" w:type="pct"/>
            <w:tcBorders>
              <w:top w:val="nil"/>
              <w:left w:val="nil"/>
              <w:bottom w:val="single" w:sz="4" w:space="0" w:color="auto"/>
              <w:right w:val="single" w:sz="4" w:space="0" w:color="auto"/>
            </w:tcBorders>
            <w:shd w:val="clear" w:color="auto" w:fill="auto"/>
            <w:noWrap/>
            <w:vAlign w:val="bottom"/>
            <w:hideMark/>
          </w:tcPr>
          <w:p w14:paraId="38717C95"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-44,0</w:t>
            </w:r>
          </w:p>
        </w:tc>
        <w:tc>
          <w:tcPr>
            <w:tcW w:w="771" w:type="pct"/>
            <w:tcBorders>
              <w:top w:val="nil"/>
              <w:left w:val="nil"/>
              <w:bottom w:val="single" w:sz="4" w:space="0" w:color="auto"/>
              <w:right w:val="single" w:sz="12" w:space="0" w:color="auto"/>
            </w:tcBorders>
            <w:shd w:val="clear" w:color="auto" w:fill="auto"/>
            <w:noWrap/>
            <w:vAlign w:val="bottom"/>
            <w:hideMark/>
          </w:tcPr>
          <w:p w14:paraId="74C53672"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-28,5</w:t>
            </w:r>
          </w:p>
        </w:tc>
      </w:tr>
      <w:tr w:rsidR="003B2986" w:rsidRPr="00E36734" w14:paraId="47EC9A2C" w14:textId="77777777" w:rsidTr="003B2986">
        <w:trPr>
          <w:trHeight w:val="288"/>
        </w:trPr>
        <w:tc>
          <w:tcPr>
            <w:tcW w:w="691" w:type="pct"/>
            <w:vMerge/>
            <w:tcBorders>
              <w:top w:val="nil"/>
              <w:left w:val="single" w:sz="12" w:space="0" w:color="auto"/>
              <w:bottom w:val="single" w:sz="12" w:space="0" w:color="000000"/>
              <w:right w:val="single" w:sz="4" w:space="0" w:color="auto"/>
            </w:tcBorders>
            <w:vAlign w:val="center"/>
            <w:hideMark/>
          </w:tcPr>
          <w:p w14:paraId="7995B7CE" w14:textId="77777777" w:rsidR="003B2986" w:rsidRPr="00E36734" w:rsidRDefault="003B2986" w:rsidP="003B2986">
            <w:pPr>
              <w:spacing w:after="0" w:line="240" w:lineRule="auto"/>
              <w:rPr>
                <w:rFonts w:ascii="Calibri" w:eastAsia="Times New Roman" w:hAnsi="Calibri" w:cs="Calibri"/>
                <w:color w:val="000000"/>
                <w:sz w:val="18"/>
                <w:szCs w:val="18"/>
                <w:lang w:val="en-US"/>
              </w:rPr>
            </w:pPr>
          </w:p>
        </w:tc>
        <w:tc>
          <w:tcPr>
            <w:tcW w:w="741" w:type="pct"/>
            <w:tcBorders>
              <w:top w:val="nil"/>
              <w:left w:val="nil"/>
              <w:bottom w:val="single" w:sz="4" w:space="0" w:color="auto"/>
              <w:right w:val="single" w:sz="4" w:space="0" w:color="auto"/>
            </w:tcBorders>
            <w:shd w:val="clear" w:color="auto" w:fill="auto"/>
            <w:vAlign w:val="bottom"/>
            <w:hideMark/>
          </w:tcPr>
          <w:p w14:paraId="7FB943C8" w14:textId="77777777" w:rsidR="003B2986" w:rsidRPr="00E36734" w:rsidRDefault="003B2986" w:rsidP="003B2986">
            <w:pPr>
              <w:spacing w:after="0" w:line="240" w:lineRule="auto"/>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4-5 άτομα</w:t>
            </w:r>
          </w:p>
        </w:tc>
        <w:tc>
          <w:tcPr>
            <w:tcW w:w="415" w:type="pct"/>
            <w:tcBorders>
              <w:top w:val="nil"/>
              <w:left w:val="nil"/>
              <w:bottom w:val="single" w:sz="4" w:space="0" w:color="auto"/>
              <w:right w:val="single" w:sz="4" w:space="0" w:color="auto"/>
            </w:tcBorders>
            <w:shd w:val="clear" w:color="auto" w:fill="auto"/>
            <w:noWrap/>
            <w:vAlign w:val="bottom"/>
            <w:hideMark/>
          </w:tcPr>
          <w:p w14:paraId="016A49DE"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13,0</w:t>
            </w:r>
          </w:p>
        </w:tc>
        <w:tc>
          <w:tcPr>
            <w:tcW w:w="441" w:type="pct"/>
            <w:tcBorders>
              <w:top w:val="nil"/>
              <w:left w:val="nil"/>
              <w:bottom w:val="single" w:sz="4" w:space="0" w:color="auto"/>
              <w:right w:val="single" w:sz="4" w:space="0" w:color="auto"/>
            </w:tcBorders>
            <w:shd w:val="clear" w:color="auto" w:fill="auto"/>
            <w:noWrap/>
            <w:vAlign w:val="bottom"/>
            <w:hideMark/>
          </w:tcPr>
          <w:p w14:paraId="65A08703"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72,7</w:t>
            </w:r>
          </w:p>
        </w:tc>
        <w:tc>
          <w:tcPr>
            <w:tcW w:w="559" w:type="pct"/>
            <w:tcBorders>
              <w:top w:val="nil"/>
              <w:left w:val="nil"/>
              <w:bottom w:val="single" w:sz="4" w:space="0" w:color="auto"/>
              <w:right w:val="double" w:sz="6" w:space="0" w:color="auto"/>
            </w:tcBorders>
            <w:shd w:val="clear" w:color="auto" w:fill="auto"/>
            <w:noWrap/>
            <w:vAlign w:val="bottom"/>
            <w:hideMark/>
          </w:tcPr>
          <w:p w14:paraId="5A68753A"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13,0</w:t>
            </w:r>
          </w:p>
        </w:tc>
        <w:tc>
          <w:tcPr>
            <w:tcW w:w="746" w:type="pct"/>
            <w:tcBorders>
              <w:top w:val="nil"/>
              <w:left w:val="nil"/>
              <w:bottom w:val="single" w:sz="4" w:space="0" w:color="auto"/>
              <w:right w:val="single" w:sz="4" w:space="0" w:color="auto"/>
            </w:tcBorders>
            <w:shd w:val="clear" w:color="auto" w:fill="auto"/>
            <w:noWrap/>
            <w:vAlign w:val="bottom"/>
            <w:hideMark/>
          </w:tcPr>
          <w:p w14:paraId="74661007"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11,9</w:t>
            </w:r>
          </w:p>
        </w:tc>
        <w:tc>
          <w:tcPr>
            <w:tcW w:w="636" w:type="pct"/>
            <w:tcBorders>
              <w:top w:val="nil"/>
              <w:left w:val="nil"/>
              <w:bottom w:val="single" w:sz="4" w:space="0" w:color="auto"/>
              <w:right w:val="single" w:sz="4" w:space="0" w:color="auto"/>
            </w:tcBorders>
            <w:shd w:val="clear" w:color="auto" w:fill="auto"/>
            <w:noWrap/>
            <w:vAlign w:val="bottom"/>
            <w:hideMark/>
          </w:tcPr>
          <w:p w14:paraId="0A81D435"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-46,3</w:t>
            </w:r>
          </w:p>
        </w:tc>
        <w:tc>
          <w:tcPr>
            <w:tcW w:w="771" w:type="pct"/>
            <w:tcBorders>
              <w:top w:val="nil"/>
              <w:left w:val="nil"/>
              <w:bottom w:val="single" w:sz="4" w:space="0" w:color="auto"/>
              <w:right w:val="single" w:sz="12" w:space="0" w:color="auto"/>
            </w:tcBorders>
            <w:shd w:val="clear" w:color="auto" w:fill="auto"/>
            <w:noWrap/>
            <w:vAlign w:val="bottom"/>
            <w:hideMark/>
          </w:tcPr>
          <w:p w14:paraId="31B6ABE1"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-33,6</w:t>
            </w:r>
          </w:p>
        </w:tc>
      </w:tr>
      <w:tr w:rsidR="003B2986" w:rsidRPr="00E36734" w14:paraId="6D2F7AA9" w14:textId="77777777" w:rsidTr="003B2986">
        <w:trPr>
          <w:trHeight w:val="300"/>
        </w:trPr>
        <w:tc>
          <w:tcPr>
            <w:tcW w:w="691" w:type="pct"/>
            <w:vMerge/>
            <w:tcBorders>
              <w:top w:val="nil"/>
              <w:left w:val="single" w:sz="12" w:space="0" w:color="auto"/>
              <w:bottom w:val="single" w:sz="12" w:space="0" w:color="000000"/>
              <w:right w:val="single" w:sz="4" w:space="0" w:color="auto"/>
            </w:tcBorders>
            <w:vAlign w:val="center"/>
            <w:hideMark/>
          </w:tcPr>
          <w:p w14:paraId="5AE3761B" w14:textId="77777777" w:rsidR="003B2986" w:rsidRPr="00E36734" w:rsidRDefault="003B2986" w:rsidP="003B2986">
            <w:pPr>
              <w:spacing w:after="0" w:line="240" w:lineRule="auto"/>
              <w:rPr>
                <w:rFonts w:ascii="Calibri" w:eastAsia="Times New Roman" w:hAnsi="Calibri" w:cs="Calibri"/>
                <w:color w:val="000000"/>
                <w:sz w:val="18"/>
                <w:szCs w:val="18"/>
                <w:lang w:val="en-US"/>
              </w:rPr>
            </w:pPr>
          </w:p>
        </w:tc>
        <w:tc>
          <w:tcPr>
            <w:tcW w:w="741" w:type="pct"/>
            <w:tcBorders>
              <w:top w:val="nil"/>
              <w:left w:val="nil"/>
              <w:bottom w:val="single" w:sz="12" w:space="0" w:color="auto"/>
              <w:right w:val="single" w:sz="4" w:space="0" w:color="auto"/>
            </w:tcBorders>
            <w:shd w:val="clear" w:color="auto" w:fill="auto"/>
            <w:vAlign w:val="bottom"/>
            <w:hideMark/>
          </w:tcPr>
          <w:p w14:paraId="6336C7C4" w14:textId="77777777" w:rsidR="003B2986" w:rsidRPr="00E36734" w:rsidRDefault="003B2986" w:rsidP="003B2986">
            <w:pPr>
              <w:spacing w:after="0" w:line="240" w:lineRule="auto"/>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Πάνω από 5 άτομα</w:t>
            </w:r>
          </w:p>
        </w:tc>
        <w:tc>
          <w:tcPr>
            <w:tcW w:w="415" w:type="pct"/>
            <w:tcBorders>
              <w:top w:val="nil"/>
              <w:left w:val="nil"/>
              <w:bottom w:val="single" w:sz="12" w:space="0" w:color="auto"/>
              <w:right w:val="single" w:sz="4" w:space="0" w:color="auto"/>
            </w:tcBorders>
            <w:shd w:val="clear" w:color="auto" w:fill="auto"/>
            <w:noWrap/>
            <w:vAlign w:val="bottom"/>
            <w:hideMark/>
          </w:tcPr>
          <w:p w14:paraId="479AA1DD"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17,1</w:t>
            </w:r>
          </w:p>
        </w:tc>
        <w:tc>
          <w:tcPr>
            <w:tcW w:w="441" w:type="pct"/>
            <w:tcBorders>
              <w:top w:val="nil"/>
              <w:left w:val="nil"/>
              <w:bottom w:val="single" w:sz="12" w:space="0" w:color="auto"/>
              <w:right w:val="single" w:sz="4" w:space="0" w:color="auto"/>
            </w:tcBorders>
            <w:shd w:val="clear" w:color="auto" w:fill="auto"/>
            <w:noWrap/>
            <w:vAlign w:val="bottom"/>
            <w:hideMark/>
          </w:tcPr>
          <w:p w14:paraId="12407833"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57,9</w:t>
            </w:r>
          </w:p>
        </w:tc>
        <w:tc>
          <w:tcPr>
            <w:tcW w:w="559" w:type="pct"/>
            <w:tcBorders>
              <w:top w:val="nil"/>
              <w:left w:val="nil"/>
              <w:bottom w:val="single" w:sz="12" w:space="0" w:color="auto"/>
              <w:right w:val="double" w:sz="6" w:space="0" w:color="auto"/>
            </w:tcBorders>
            <w:shd w:val="clear" w:color="auto" w:fill="auto"/>
            <w:noWrap/>
            <w:vAlign w:val="bottom"/>
            <w:hideMark/>
          </w:tcPr>
          <w:p w14:paraId="4E4FF8FE"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23,7</w:t>
            </w:r>
          </w:p>
        </w:tc>
        <w:tc>
          <w:tcPr>
            <w:tcW w:w="746" w:type="pct"/>
            <w:tcBorders>
              <w:top w:val="nil"/>
              <w:left w:val="nil"/>
              <w:bottom w:val="single" w:sz="12" w:space="0" w:color="auto"/>
              <w:right w:val="single" w:sz="4" w:space="0" w:color="auto"/>
            </w:tcBorders>
            <w:shd w:val="clear" w:color="auto" w:fill="auto"/>
            <w:noWrap/>
            <w:vAlign w:val="bottom"/>
            <w:hideMark/>
          </w:tcPr>
          <w:p w14:paraId="6D101883"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23,0</w:t>
            </w:r>
          </w:p>
        </w:tc>
        <w:tc>
          <w:tcPr>
            <w:tcW w:w="636" w:type="pct"/>
            <w:tcBorders>
              <w:top w:val="nil"/>
              <w:left w:val="nil"/>
              <w:bottom w:val="single" w:sz="12" w:space="0" w:color="auto"/>
              <w:right w:val="single" w:sz="4" w:space="0" w:color="auto"/>
            </w:tcBorders>
            <w:shd w:val="clear" w:color="auto" w:fill="auto"/>
            <w:noWrap/>
            <w:vAlign w:val="bottom"/>
            <w:hideMark/>
          </w:tcPr>
          <w:p w14:paraId="1D895D8A"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-39,1</w:t>
            </w:r>
          </w:p>
        </w:tc>
        <w:tc>
          <w:tcPr>
            <w:tcW w:w="771" w:type="pct"/>
            <w:tcBorders>
              <w:top w:val="nil"/>
              <w:left w:val="nil"/>
              <w:bottom w:val="single" w:sz="12" w:space="0" w:color="auto"/>
              <w:right w:val="single" w:sz="12" w:space="0" w:color="auto"/>
            </w:tcBorders>
            <w:shd w:val="clear" w:color="auto" w:fill="auto"/>
            <w:noWrap/>
            <w:vAlign w:val="bottom"/>
            <w:hideMark/>
          </w:tcPr>
          <w:p w14:paraId="39D64C07"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-19,7</w:t>
            </w:r>
          </w:p>
        </w:tc>
      </w:tr>
      <w:tr w:rsidR="003B2986" w:rsidRPr="00E36734" w14:paraId="1BF66DC7" w14:textId="77777777" w:rsidTr="003B2986">
        <w:trPr>
          <w:trHeight w:val="528"/>
        </w:trPr>
        <w:tc>
          <w:tcPr>
            <w:tcW w:w="1432" w:type="pct"/>
            <w:gridSpan w:val="2"/>
            <w:tcBorders>
              <w:top w:val="single" w:sz="12" w:space="0" w:color="auto"/>
              <w:left w:val="single" w:sz="12" w:space="0" w:color="auto"/>
              <w:bottom w:val="single" w:sz="4" w:space="0" w:color="auto"/>
              <w:right w:val="single" w:sz="4" w:space="0" w:color="auto"/>
            </w:tcBorders>
            <w:shd w:val="clear" w:color="auto" w:fill="auto"/>
            <w:vAlign w:val="bottom"/>
            <w:hideMark/>
          </w:tcPr>
          <w:p w14:paraId="5181A898" w14:textId="77777777" w:rsidR="003B2986" w:rsidRPr="00E36734" w:rsidRDefault="003B2986" w:rsidP="003B2986">
            <w:pPr>
              <w:spacing w:after="0" w:line="240" w:lineRule="auto"/>
              <w:jc w:val="center"/>
              <w:rPr>
                <w:rFonts w:ascii="Calibri" w:eastAsia="Times New Roman" w:hAnsi="Calibri" w:cs="Calibri"/>
                <w:color w:val="000000"/>
                <w:sz w:val="18"/>
                <w:szCs w:val="18"/>
              </w:rPr>
            </w:pPr>
            <w:r w:rsidRPr="00E36734">
              <w:rPr>
                <w:rFonts w:ascii="Calibri" w:eastAsia="Times New Roman" w:hAnsi="Calibri" w:cs="Calibri"/>
                <w:color w:val="000000"/>
                <w:sz w:val="18"/>
                <w:szCs w:val="18"/>
              </w:rPr>
              <w:t>Επιχειρήσεις που ανέστειλαν τη λειτουργία τους με κρατική εντολή</w:t>
            </w:r>
          </w:p>
        </w:tc>
        <w:tc>
          <w:tcPr>
            <w:tcW w:w="415" w:type="pct"/>
            <w:tcBorders>
              <w:top w:val="nil"/>
              <w:left w:val="nil"/>
              <w:bottom w:val="single" w:sz="4" w:space="0" w:color="auto"/>
              <w:right w:val="single" w:sz="4" w:space="0" w:color="auto"/>
            </w:tcBorders>
            <w:shd w:val="clear" w:color="auto" w:fill="auto"/>
            <w:noWrap/>
            <w:vAlign w:val="bottom"/>
            <w:hideMark/>
          </w:tcPr>
          <w:p w14:paraId="762DAB27"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8,9</w:t>
            </w:r>
          </w:p>
        </w:tc>
        <w:tc>
          <w:tcPr>
            <w:tcW w:w="441" w:type="pct"/>
            <w:tcBorders>
              <w:top w:val="nil"/>
              <w:left w:val="nil"/>
              <w:bottom w:val="single" w:sz="4" w:space="0" w:color="auto"/>
              <w:right w:val="single" w:sz="4" w:space="0" w:color="auto"/>
            </w:tcBorders>
            <w:shd w:val="clear" w:color="auto" w:fill="auto"/>
            <w:noWrap/>
            <w:vAlign w:val="bottom"/>
            <w:hideMark/>
          </w:tcPr>
          <w:p w14:paraId="510BF280"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81,7</w:t>
            </w:r>
          </w:p>
        </w:tc>
        <w:tc>
          <w:tcPr>
            <w:tcW w:w="559" w:type="pct"/>
            <w:tcBorders>
              <w:top w:val="nil"/>
              <w:left w:val="nil"/>
              <w:bottom w:val="single" w:sz="4" w:space="0" w:color="auto"/>
              <w:right w:val="double" w:sz="6" w:space="0" w:color="auto"/>
            </w:tcBorders>
            <w:shd w:val="clear" w:color="auto" w:fill="auto"/>
            <w:noWrap/>
            <w:vAlign w:val="bottom"/>
            <w:hideMark/>
          </w:tcPr>
          <w:p w14:paraId="5262F1BD"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9,4</w:t>
            </w:r>
          </w:p>
        </w:tc>
        <w:tc>
          <w:tcPr>
            <w:tcW w:w="746" w:type="pct"/>
            <w:tcBorders>
              <w:top w:val="nil"/>
              <w:left w:val="nil"/>
              <w:bottom w:val="single" w:sz="4" w:space="0" w:color="auto"/>
              <w:right w:val="single" w:sz="4" w:space="0" w:color="auto"/>
            </w:tcBorders>
            <w:shd w:val="clear" w:color="auto" w:fill="auto"/>
            <w:noWrap/>
            <w:vAlign w:val="bottom"/>
            <w:hideMark/>
          </w:tcPr>
          <w:p w14:paraId="38E0C650"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25,0</w:t>
            </w:r>
          </w:p>
        </w:tc>
        <w:tc>
          <w:tcPr>
            <w:tcW w:w="636" w:type="pct"/>
            <w:tcBorders>
              <w:top w:val="nil"/>
              <w:left w:val="nil"/>
              <w:bottom w:val="single" w:sz="4" w:space="0" w:color="auto"/>
              <w:right w:val="single" w:sz="4" w:space="0" w:color="auto"/>
            </w:tcBorders>
            <w:shd w:val="clear" w:color="auto" w:fill="auto"/>
            <w:noWrap/>
            <w:vAlign w:val="bottom"/>
            <w:hideMark/>
          </w:tcPr>
          <w:p w14:paraId="2224BF0F"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-49,9</w:t>
            </w:r>
          </w:p>
        </w:tc>
        <w:tc>
          <w:tcPr>
            <w:tcW w:w="771" w:type="pct"/>
            <w:tcBorders>
              <w:top w:val="nil"/>
              <w:left w:val="nil"/>
              <w:bottom w:val="single" w:sz="4" w:space="0" w:color="auto"/>
              <w:right w:val="single" w:sz="12" w:space="0" w:color="auto"/>
            </w:tcBorders>
            <w:shd w:val="clear" w:color="auto" w:fill="auto"/>
            <w:noWrap/>
            <w:vAlign w:val="bottom"/>
            <w:hideMark/>
          </w:tcPr>
          <w:p w14:paraId="76C26DAD"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-39,3</w:t>
            </w:r>
          </w:p>
        </w:tc>
      </w:tr>
      <w:tr w:rsidR="003B2986" w:rsidRPr="00E36734" w14:paraId="2ED2B866" w14:textId="77777777" w:rsidTr="003B2986">
        <w:trPr>
          <w:trHeight w:val="624"/>
        </w:trPr>
        <w:tc>
          <w:tcPr>
            <w:tcW w:w="1432" w:type="pct"/>
            <w:gridSpan w:val="2"/>
            <w:tcBorders>
              <w:top w:val="single" w:sz="4" w:space="0" w:color="auto"/>
              <w:left w:val="single" w:sz="12" w:space="0" w:color="auto"/>
              <w:bottom w:val="single" w:sz="4" w:space="0" w:color="auto"/>
              <w:right w:val="single" w:sz="4" w:space="0" w:color="auto"/>
            </w:tcBorders>
            <w:shd w:val="clear" w:color="auto" w:fill="auto"/>
            <w:vAlign w:val="bottom"/>
            <w:hideMark/>
          </w:tcPr>
          <w:p w14:paraId="57DE1C5F" w14:textId="77777777" w:rsidR="003B2986" w:rsidRPr="00E36734" w:rsidRDefault="003B2986" w:rsidP="003B2986">
            <w:pPr>
              <w:spacing w:after="0" w:line="240" w:lineRule="auto"/>
              <w:jc w:val="center"/>
              <w:rPr>
                <w:rFonts w:ascii="Calibri" w:eastAsia="Times New Roman" w:hAnsi="Calibri" w:cs="Calibri"/>
                <w:color w:val="000000"/>
                <w:sz w:val="18"/>
                <w:szCs w:val="18"/>
              </w:rPr>
            </w:pPr>
            <w:r w:rsidRPr="00E36734">
              <w:rPr>
                <w:rFonts w:ascii="Calibri" w:eastAsia="Times New Roman" w:hAnsi="Calibri" w:cs="Calibri"/>
                <w:color w:val="000000"/>
                <w:sz w:val="18"/>
                <w:szCs w:val="18"/>
              </w:rPr>
              <w:t>Επιχειρήσεις που βάσει ΚΑΔ άνηκαν στις πληττόμενες</w:t>
            </w:r>
          </w:p>
        </w:tc>
        <w:tc>
          <w:tcPr>
            <w:tcW w:w="415" w:type="pct"/>
            <w:tcBorders>
              <w:top w:val="nil"/>
              <w:left w:val="nil"/>
              <w:bottom w:val="single" w:sz="4" w:space="0" w:color="auto"/>
              <w:right w:val="single" w:sz="4" w:space="0" w:color="auto"/>
            </w:tcBorders>
            <w:shd w:val="clear" w:color="auto" w:fill="auto"/>
            <w:noWrap/>
            <w:vAlign w:val="bottom"/>
            <w:hideMark/>
          </w:tcPr>
          <w:p w14:paraId="7EF34160"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9,0</w:t>
            </w:r>
          </w:p>
        </w:tc>
        <w:tc>
          <w:tcPr>
            <w:tcW w:w="441" w:type="pct"/>
            <w:tcBorders>
              <w:top w:val="nil"/>
              <w:left w:val="nil"/>
              <w:bottom w:val="single" w:sz="4" w:space="0" w:color="auto"/>
              <w:right w:val="single" w:sz="4" w:space="0" w:color="auto"/>
            </w:tcBorders>
            <w:shd w:val="clear" w:color="auto" w:fill="auto"/>
            <w:noWrap/>
            <w:vAlign w:val="bottom"/>
            <w:hideMark/>
          </w:tcPr>
          <w:p w14:paraId="551FEA0C"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74,4</w:t>
            </w:r>
          </w:p>
        </w:tc>
        <w:tc>
          <w:tcPr>
            <w:tcW w:w="559" w:type="pct"/>
            <w:tcBorders>
              <w:top w:val="nil"/>
              <w:left w:val="nil"/>
              <w:bottom w:val="single" w:sz="4" w:space="0" w:color="auto"/>
              <w:right w:val="double" w:sz="6" w:space="0" w:color="auto"/>
            </w:tcBorders>
            <w:shd w:val="clear" w:color="auto" w:fill="auto"/>
            <w:noWrap/>
            <w:vAlign w:val="bottom"/>
            <w:hideMark/>
          </w:tcPr>
          <w:p w14:paraId="4462B709"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14,5</w:t>
            </w:r>
          </w:p>
        </w:tc>
        <w:tc>
          <w:tcPr>
            <w:tcW w:w="746" w:type="pct"/>
            <w:tcBorders>
              <w:top w:val="nil"/>
              <w:left w:val="nil"/>
              <w:bottom w:val="single" w:sz="4" w:space="0" w:color="auto"/>
              <w:right w:val="single" w:sz="4" w:space="0" w:color="auto"/>
            </w:tcBorders>
            <w:shd w:val="clear" w:color="auto" w:fill="auto"/>
            <w:noWrap/>
            <w:vAlign w:val="bottom"/>
            <w:hideMark/>
          </w:tcPr>
          <w:p w14:paraId="1A14A498"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20,2</w:t>
            </w:r>
          </w:p>
        </w:tc>
        <w:tc>
          <w:tcPr>
            <w:tcW w:w="636" w:type="pct"/>
            <w:tcBorders>
              <w:top w:val="nil"/>
              <w:left w:val="nil"/>
              <w:bottom w:val="single" w:sz="4" w:space="0" w:color="auto"/>
              <w:right w:val="single" w:sz="4" w:space="0" w:color="auto"/>
            </w:tcBorders>
            <w:shd w:val="clear" w:color="auto" w:fill="auto"/>
            <w:noWrap/>
            <w:vAlign w:val="bottom"/>
            <w:hideMark/>
          </w:tcPr>
          <w:p w14:paraId="24FB2A45"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-48,9</w:t>
            </w:r>
          </w:p>
        </w:tc>
        <w:tc>
          <w:tcPr>
            <w:tcW w:w="771" w:type="pct"/>
            <w:tcBorders>
              <w:top w:val="nil"/>
              <w:left w:val="nil"/>
              <w:bottom w:val="single" w:sz="4" w:space="0" w:color="auto"/>
              <w:right w:val="single" w:sz="12" w:space="0" w:color="auto"/>
            </w:tcBorders>
            <w:shd w:val="clear" w:color="auto" w:fill="auto"/>
            <w:noWrap/>
            <w:vAlign w:val="bottom"/>
            <w:hideMark/>
          </w:tcPr>
          <w:p w14:paraId="529164BE"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-35,6</w:t>
            </w:r>
          </w:p>
        </w:tc>
      </w:tr>
      <w:tr w:rsidR="003B2986" w:rsidRPr="00E36734" w14:paraId="280F3A1B" w14:textId="77777777" w:rsidTr="003B2986">
        <w:trPr>
          <w:trHeight w:val="912"/>
        </w:trPr>
        <w:tc>
          <w:tcPr>
            <w:tcW w:w="1432" w:type="pct"/>
            <w:gridSpan w:val="2"/>
            <w:tcBorders>
              <w:top w:val="single" w:sz="4" w:space="0" w:color="auto"/>
              <w:left w:val="single" w:sz="12" w:space="0" w:color="auto"/>
              <w:bottom w:val="single" w:sz="12" w:space="0" w:color="auto"/>
              <w:right w:val="single" w:sz="4" w:space="0" w:color="auto"/>
            </w:tcBorders>
            <w:shd w:val="clear" w:color="auto" w:fill="auto"/>
            <w:vAlign w:val="bottom"/>
            <w:hideMark/>
          </w:tcPr>
          <w:p w14:paraId="64F8DFB1" w14:textId="77777777" w:rsidR="003B2986" w:rsidRPr="00E36734" w:rsidRDefault="003B2986" w:rsidP="003B2986">
            <w:pPr>
              <w:spacing w:after="0" w:line="240" w:lineRule="auto"/>
              <w:jc w:val="center"/>
              <w:rPr>
                <w:rFonts w:ascii="Calibri" w:eastAsia="Times New Roman" w:hAnsi="Calibri" w:cs="Calibri"/>
                <w:color w:val="000000"/>
                <w:sz w:val="18"/>
                <w:szCs w:val="18"/>
              </w:rPr>
            </w:pPr>
            <w:r w:rsidRPr="00E36734">
              <w:rPr>
                <w:rFonts w:ascii="Calibri" w:eastAsia="Times New Roman" w:hAnsi="Calibri" w:cs="Calibri"/>
                <w:color w:val="000000"/>
                <w:sz w:val="18"/>
                <w:szCs w:val="18"/>
              </w:rPr>
              <w:t>Επιχειρήσεις που δεν ανήκουν σε καμία από τις δύο παραπάνω κατηγορίες</w:t>
            </w:r>
          </w:p>
        </w:tc>
        <w:tc>
          <w:tcPr>
            <w:tcW w:w="415" w:type="pct"/>
            <w:tcBorders>
              <w:top w:val="nil"/>
              <w:left w:val="nil"/>
              <w:bottom w:val="single" w:sz="12" w:space="0" w:color="auto"/>
              <w:right w:val="single" w:sz="4" w:space="0" w:color="auto"/>
            </w:tcBorders>
            <w:shd w:val="clear" w:color="auto" w:fill="auto"/>
            <w:noWrap/>
            <w:vAlign w:val="bottom"/>
            <w:hideMark/>
          </w:tcPr>
          <w:p w14:paraId="3AAA83CF"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18,6</w:t>
            </w:r>
          </w:p>
        </w:tc>
        <w:tc>
          <w:tcPr>
            <w:tcW w:w="441" w:type="pct"/>
            <w:tcBorders>
              <w:top w:val="nil"/>
              <w:left w:val="nil"/>
              <w:bottom w:val="single" w:sz="12" w:space="0" w:color="auto"/>
              <w:right w:val="single" w:sz="4" w:space="0" w:color="auto"/>
            </w:tcBorders>
            <w:shd w:val="clear" w:color="auto" w:fill="auto"/>
            <w:noWrap/>
            <w:vAlign w:val="bottom"/>
            <w:hideMark/>
          </w:tcPr>
          <w:p w14:paraId="3A8F755D"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50,8</w:t>
            </w:r>
          </w:p>
        </w:tc>
        <w:tc>
          <w:tcPr>
            <w:tcW w:w="559" w:type="pct"/>
            <w:tcBorders>
              <w:top w:val="nil"/>
              <w:left w:val="nil"/>
              <w:bottom w:val="single" w:sz="12" w:space="0" w:color="auto"/>
              <w:right w:val="double" w:sz="6" w:space="0" w:color="auto"/>
            </w:tcBorders>
            <w:shd w:val="clear" w:color="auto" w:fill="auto"/>
            <w:noWrap/>
            <w:vAlign w:val="bottom"/>
            <w:hideMark/>
          </w:tcPr>
          <w:p w14:paraId="2C965078"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30,1</w:t>
            </w:r>
          </w:p>
        </w:tc>
        <w:tc>
          <w:tcPr>
            <w:tcW w:w="746" w:type="pct"/>
            <w:tcBorders>
              <w:top w:val="nil"/>
              <w:left w:val="nil"/>
              <w:bottom w:val="single" w:sz="12" w:space="0" w:color="auto"/>
              <w:right w:val="single" w:sz="4" w:space="0" w:color="auto"/>
            </w:tcBorders>
            <w:shd w:val="clear" w:color="auto" w:fill="auto"/>
            <w:noWrap/>
            <w:vAlign w:val="bottom"/>
            <w:hideMark/>
          </w:tcPr>
          <w:p w14:paraId="1D99E3B6"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20,6</w:t>
            </w:r>
          </w:p>
        </w:tc>
        <w:tc>
          <w:tcPr>
            <w:tcW w:w="636" w:type="pct"/>
            <w:tcBorders>
              <w:top w:val="nil"/>
              <w:left w:val="nil"/>
              <w:bottom w:val="single" w:sz="12" w:space="0" w:color="auto"/>
              <w:right w:val="single" w:sz="4" w:space="0" w:color="auto"/>
            </w:tcBorders>
            <w:shd w:val="clear" w:color="auto" w:fill="auto"/>
            <w:noWrap/>
            <w:vAlign w:val="bottom"/>
            <w:hideMark/>
          </w:tcPr>
          <w:p w14:paraId="33C187F9"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-40,6</w:t>
            </w:r>
          </w:p>
        </w:tc>
        <w:tc>
          <w:tcPr>
            <w:tcW w:w="771" w:type="pct"/>
            <w:tcBorders>
              <w:top w:val="nil"/>
              <w:left w:val="nil"/>
              <w:bottom w:val="single" w:sz="12" w:space="0" w:color="auto"/>
              <w:right w:val="single" w:sz="12" w:space="0" w:color="auto"/>
            </w:tcBorders>
            <w:shd w:val="clear" w:color="auto" w:fill="auto"/>
            <w:noWrap/>
            <w:vAlign w:val="bottom"/>
            <w:hideMark/>
          </w:tcPr>
          <w:p w14:paraId="228A208B"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-17,8</w:t>
            </w:r>
          </w:p>
        </w:tc>
      </w:tr>
      <w:tr w:rsidR="003B2986" w:rsidRPr="00E36734" w14:paraId="46157E14" w14:textId="77777777" w:rsidTr="003B2986">
        <w:trPr>
          <w:trHeight w:val="312"/>
        </w:trPr>
        <w:tc>
          <w:tcPr>
            <w:tcW w:w="1432" w:type="pct"/>
            <w:gridSpan w:val="2"/>
            <w:tcBorders>
              <w:top w:val="nil"/>
              <w:left w:val="single" w:sz="12" w:space="0" w:color="auto"/>
              <w:bottom w:val="single" w:sz="12" w:space="0" w:color="auto"/>
              <w:right w:val="single" w:sz="4" w:space="0" w:color="auto"/>
            </w:tcBorders>
            <w:shd w:val="clear" w:color="auto" w:fill="auto"/>
            <w:vAlign w:val="bottom"/>
            <w:hideMark/>
          </w:tcPr>
          <w:p w14:paraId="6B34EDD4"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Επιχειρήσεις εστίασης</w:t>
            </w:r>
          </w:p>
        </w:tc>
        <w:tc>
          <w:tcPr>
            <w:tcW w:w="415" w:type="pct"/>
            <w:tcBorders>
              <w:top w:val="nil"/>
              <w:left w:val="nil"/>
              <w:bottom w:val="single" w:sz="12" w:space="0" w:color="auto"/>
              <w:right w:val="single" w:sz="4" w:space="0" w:color="auto"/>
            </w:tcBorders>
            <w:shd w:val="clear" w:color="auto" w:fill="auto"/>
            <w:noWrap/>
            <w:vAlign w:val="bottom"/>
            <w:hideMark/>
          </w:tcPr>
          <w:p w14:paraId="6894DDEB"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8,8</w:t>
            </w:r>
          </w:p>
        </w:tc>
        <w:tc>
          <w:tcPr>
            <w:tcW w:w="441" w:type="pct"/>
            <w:tcBorders>
              <w:top w:val="nil"/>
              <w:left w:val="nil"/>
              <w:bottom w:val="single" w:sz="12" w:space="0" w:color="auto"/>
              <w:right w:val="single" w:sz="4" w:space="0" w:color="auto"/>
            </w:tcBorders>
            <w:shd w:val="clear" w:color="auto" w:fill="auto"/>
            <w:noWrap/>
            <w:vAlign w:val="bottom"/>
            <w:hideMark/>
          </w:tcPr>
          <w:p w14:paraId="32125C9C"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77,9</w:t>
            </w:r>
          </w:p>
        </w:tc>
        <w:tc>
          <w:tcPr>
            <w:tcW w:w="559" w:type="pct"/>
            <w:tcBorders>
              <w:top w:val="nil"/>
              <w:left w:val="nil"/>
              <w:bottom w:val="single" w:sz="12" w:space="0" w:color="auto"/>
              <w:right w:val="double" w:sz="6" w:space="0" w:color="auto"/>
            </w:tcBorders>
            <w:shd w:val="clear" w:color="auto" w:fill="auto"/>
            <w:noWrap/>
            <w:vAlign w:val="bottom"/>
            <w:hideMark/>
          </w:tcPr>
          <w:p w14:paraId="05779728"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11,8</w:t>
            </w:r>
          </w:p>
        </w:tc>
        <w:tc>
          <w:tcPr>
            <w:tcW w:w="746" w:type="pct"/>
            <w:tcBorders>
              <w:top w:val="nil"/>
              <w:left w:val="nil"/>
              <w:bottom w:val="single" w:sz="12" w:space="0" w:color="auto"/>
              <w:right w:val="single" w:sz="4" w:space="0" w:color="auto"/>
            </w:tcBorders>
            <w:shd w:val="clear" w:color="auto" w:fill="auto"/>
            <w:noWrap/>
            <w:vAlign w:val="bottom"/>
            <w:hideMark/>
          </w:tcPr>
          <w:p w14:paraId="57EE7BC6"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43,0</w:t>
            </w:r>
          </w:p>
        </w:tc>
        <w:tc>
          <w:tcPr>
            <w:tcW w:w="636" w:type="pct"/>
            <w:tcBorders>
              <w:top w:val="nil"/>
              <w:left w:val="nil"/>
              <w:bottom w:val="single" w:sz="12" w:space="0" w:color="auto"/>
              <w:right w:val="single" w:sz="4" w:space="0" w:color="auto"/>
            </w:tcBorders>
            <w:shd w:val="clear" w:color="auto" w:fill="auto"/>
            <w:noWrap/>
            <w:vAlign w:val="bottom"/>
            <w:hideMark/>
          </w:tcPr>
          <w:p w14:paraId="730F3524"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-59,4</w:t>
            </w:r>
          </w:p>
        </w:tc>
        <w:tc>
          <w:tcPr>
            <w:tcW w:w="771" w:type="pct"/>
            <w:tcBorders>
              <w:top w:val="nil"/>
              <w:left w:val="nil"/>
              <w:bottom w:val="single" w:sz="12" w:space="0" w:color="auto"/>
              <w:right w:val="single" w:sz="12" w:space="0" w:color="auto"/>
            </w:tcBorders>
            <w:shd w:val="clear" w:color="auto" w:fill="auto"/>
            <w:noWrap/>
            <w:vAlign w:val="bottom"/>
            <w:hideMark/>
          </w:tcPr>
          <w:p w14:paraId="29769A98" w14:textId="77777777" w:rsidR="003B2986" w:rsidRPr="00E36734" w:rsidRDefault="003B2986" w:rsidP="003B2986">
            <w:pPr>
              <w:spacing w:after="0" w:line="240" w:lineRule="auto"/>
              <w:jc w:val="center"/>
              <w:rPr>
                <w:rFonts w:ascii="Calibri" w:eastAsia="Times New Roman" w:hAnsi="Calibri" w:cs="Calibri"/>
                <w:color w:val="000000"/>
                <w:sz w:val="18"/>
                <w:szCs w:val="18"/>
                <w:lang w:val="en-US"/>
              </w:rPr>
            </w:pPr>
            <w:r w:rsidRPr="00E36734">
              <w:rPr>
                <w:rFonts w:ascii="Calibri" w:eastAsia="Times New Roman" w:hAnsi="Calibri" w:cs="Calibri"/>
                <w:color w:val="000000"/>
                <w:sz w:val="18"/>
                <w:szCs w:val="18"/>
                <w:lang w:val="en-US"/>
              </w:rPr>
              <w:t>-44,2</w:t>
            </w:r>
          </w:p>
        </w:tc>
      </w:tr>
    </w:tbl>
    <w:p w14:paraId="76E712BC" w14:textId="77777777" w:rsidR="00A9257F" w:rsidRPr="00E36734" w:rsidRDefault="00A9257F" w:rsidP="00761263">
      <w:pPr>
        <w:spacing w:after="0" w:line="360" w:lineRule="auto"/>
        <w:jc w:val="both"/>
        <w:rPr>
          <w:rFonts w:ascii="Times New Roman" w:hAnsi="Times New Roman" w:cs="Times New Roman"/>
          <w:sz w:val="24"/>
          <w:szCs w:val="24"/>
        </w:rPr>
      </w:pPr>
    </w:p>
    <w:p w14:paraId="07138580" w14:textId="77777777" w:rsidR="00A417BC" w:rsidRPr="00E36734" w:rsidRDefault="00A417BC" w:rsidP="00761263">
      <w:pPr>
        <w:spacing w:after="0" w:line="360" w:lineRule="auto"/>
        <w:jc w:val="both"/>
        <w:rPr>
          <w:rFonts w:ascii="Times New Roman" w:hAnsi="Times New Roman" w:cs="Times New Roman"/>
          <w:b/>
          <w:sz w:val="24"/>
          <w:szCs w:val="24"/>
          <w:u w:val="single"/>
        </w:rPr>
      </w:pPr>
    </w:p>
    <w:p w14:paraId="5C394BEC" w14:textId="77777777" w:rsidR="00274A97" w:rsidRPr="00E36734" w:rsidRDefault="00274A97" w:rsidP="00A417BC">
      <w:pPr>
        <w:spacing w:after="0" w:line="360" w:lineRule="auto"/>
        <w:jc w:val="both"/>
        <w:rPr>
          <w:rFonts w:ascii="Times New Roman" w:hAnsi="Times New Roman" w:cs="Times New Roman"/>
          <w:b/>
          <w:sz w:val="24"/>
          <w:szCs w:val="24"/>
          <w:u w:val="single"/>
        </w:rPr>
      </w:pPr>
    </w:p>
    <w:p w14:paraId="5205AAB7" w14:textId="77777777" w:rsidR="00274A97" w:rsidRPr="00E36734" w:rsidRDefault="00274A97" w:rsidP="00A417BC">
      <w:pPr>
        <w:spacing w:after="0" w:line="360" w:lineRule="auto"/>
        <w:jc w:val="both"/>
        <w:rPr>
          <w:rFonts w:ascii="Times New Roman" w:hAnsi="Times New Roman" w:cs="Times New Roman"/>
          <w:b/>
          <w:sz w:val="24"/>
          <w:szCs w:val="24"/>
          <w:u w:val="single"/>
        </w:rPr>
      </w:pPr>
    </w:p>
    <w:p w14:paraId="5EE4DA05" w14:textId="77777777" w:rsidR="00274A97" w:rsidRPr="00E36734" w:rsidRDefault="00274A97" w:rsidP="00A417BC">
      <w:pPr>
        <w:spacing w:after="0" w:line="360" w:lineRule="auto"/>
        <w:jc w:val="both"/>
        <w:rPr>
          <w:rFonts w:ascii="Times New Roman" w:hAnsi="Times New Roman" w:cs="Times New Roman"/>
          <w:b/>
          <w:sz w:val="24"/>
          <w:szCs w:val="24"/>
          <w:u w:val="single"/>
        </w:rPr>
      </w:pPr>
    </w:p>
    <w:p w14:paraId="6B997CB8" w14:textId="2F891814" w:rsidR="00A417BC" w:rsidRPr="00E36734" w:rsidRDefault="00A417BC" w:rsidP="00A417BC">
      <w:pPr>
        <w:spacing w:after="0" w:line="360" w:lineRule="auto"/>
        <w:jc w:val="both"/>
        <w:rPr>
          <w:rFonts w:ascii="Times New Roman" w:hAnsi="Times New Roman" w:cs="Times New Roman"/>
          <w:b/>
          <w:sz w:val="24"/>
          <w:szCs w:val="24"/>
          <w:u w:val="single"/>
        </w:rPr>
      </w:pPr>
      <w:r w:rsidRPr="00E36734">
        <w:rPr>
          <w:rFonts w:ascii="Times New Roman" w:hAnsi="Times New Roman" w:cs="Times New Roman"/>
          <w:b/>
          <w:sz w:val="24"/>
          <w:szCs w:val="24"/>
          <w:u w:val="single"/>
        </w:rPr>
        <w:t>Ετήσιος τζίρος - Κερδοφορία</w:t>
      </w:r>
    </w:p>
    <w:p w14:paraId="206471A9" w14:textId="315688CE" w:rsidR="00D25A9C" w:rsidRPr="00E36734" w:rsidRDefault="00D25A9C" w:rsidP="00A417BC">
      <w:pPr>
        <w:spacing w:after="0" w:line="360" w:lineRule="auto"/>
        <w:jc w:val="both"/>
        <w:rPr>
          <w:rFonts w:ascii="Times New Roman" w:hAnsi="Times New Roman" w:cs="Times New Roman"/>
          <w:sz w:val="24"/>
          <w:szCs w:val="24"/>
        </w:rPr>
      </w:pPr>
      <w:bookmarkStart w:id="9" w:name="_Hlk68246108"/>
      <w:r w:rsidRPr="00E36734">
        <w:rPr>
          <w:rFonts w:ascii="Times New Roman" w:hAnsi="Times New Roman" w:cs="Times New Roman"/>
          <w:sz w:val="24"/>
          <w:szCs w:val="24"/>
        </w:rPr>
        <w:t xml:space="preserve">Η </w:t>
      </w:r>
      <w:r w:rsidR="00854D7F" w:rsidRPr="00E36734">
        <w:rPr>
          <w:rFonts w:ascii="Times New Roman" w:hAnsi="Times New Roman" w:cs="Times New Roman"/>
          <w:sz w:val="24"/>
          <w:szCs w:val="24"/>
        </w:rPr>
        <w:t>κατακρήμνιση</w:t>
      </w:r>
      <w:r w:rsidRPr="00E36734">
        <w:rPr>
          <w:rFonts w:ascii="Times New Roman" w:hAnsi="Times New Roman" w:cs="Times New Roman"/>
          <w:sz w:val="24"/>
          <w:szCs w:val="24"/>
        </w:rPr>
        <w:t xml:space="preserve"> του </w:t>
      </w:r>
      <w:r w:rsidR="00854D7F" w:rsidRPr="00E36734">
        <w:rPr>
          <w:rFonts w:ascii="Times New Roman" w:hAnsi="Times New Roman" w:cs="Times New Roman"/>
          <w:sz w:val="24"/>
          <w:szCs w:val="24"/>
        </w:rPr>
        <w:t>κύκλου</w:t>
      </w:r>
      <w:r w:rsidRPr="00E36734">
        <w:rPr>
          <w:rFonts w:ascii="Times New Roman" w:hAnsi="Times New Roman" w:cs="Times New Roman"/>
          <w:sz w:val="24"/>
          <w:szCs w:val="24"/>
        </w:rPr>
        <w:t xml:space="preserve"> εργασιών του μεγαλύτερου μέρους των μικρών και πολύ μικρών επιχειρήσεων που συντελέστηκε μέσα σε λιγότερο από 1 έτος φαίνεται </w:t>
      </w:r>
      <w:r w:rsidRPr="00E36734">
        <w:rPr>
          <w:rFonts w:ascii="Times New Roman" w:hAnsi="Times New Roman" w:cs="Times New Roman"/>
          <w:strike/>
          <w:sz w:val="24"/>
          <w:szCs w:val="24"/>
        </w:rPr>
        <w:t>καθαρά</w:t>
      </w:r>
      <w:r w:rsidRPr="00E36734">
        <w:rPr>
          <w:rFonts w:ascii="Times New Roman" w:hAnsi="Times New Roman" w:cs="Times New Roman"/>
          <w:sz w:val="24"/>
          <w:szCs w:val="24"/>
        </w:rPr>
        <w:t xml:space="preserve"> συγκρίνοντας τα σχετικά μεγέθη μεταξύ των ετών 2020 και 2019.</w:t>
      </w:r>
    </w:p>
    <w:p w14:paraId="5D655C56" w14:textId="3A09F78F" w:rsidR="00854D7F" w:rsidRPr="00E36734" w:rsidRDefault="00854D7F" w:rsidP="00A417BC">
      <w:p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 xml:space="preserve">Όπως φαίνεται στο </w:t>
      </w:r>
      <w:r w:rsidR="00274A97" w:rsidRPr="00E36734">
        <w:rPr>
          <w:rFonts w:ascii="Times New Roman" w:hAnsi="Times New Roman" w:cs="Times New Roman"/>
          <w:sz w:val="24"/>
          <w:szCs w:val="24"/>
        </w:rPr>
        <w:t>Γ</w:t>
      </w:r>
      <w:r w:rsidRPr="00E36734">
        <w:rPr>
          <w:rFonts w:ascii="Times New Roman" w:hAnsi="Times New Roman" w:cs="Times New Roman"/>
          <w:sz w:val="24"/>
          <w:szCs w:val="24"/>
        </w:rPr>
        <w:t xml:space="preserve">ράφημα </w:t>
      </w:r>
      <w:r w:rsidR="00274A97" w:rsidRPr="00E36734">
        <w:rPr>
          <w:rFonts w:ascii="Times New Roman" w:hAnsi="Times New Roman" w:cs="Times New Roman"/>
          <w:sz w:val="24"/>
          <w:szCs w:val="24"/>
        </w:rPr>
        <w:t>7</w:t>
      </w:r>
      <w:r w:rsidRPr="00E36734">
        <w:rPr>
          <w:rFonts w:ascii="Times New Roman" w:hAnsi="Times New Roman" w:cs="Times New Roman"/>
          <w:sz w:val="24"/>
          <w:szCs w:val="24"/>
        </w:rPr>
        <w:t xml:space="preserve"> οι επιχειρήσεις που δηλώνουν ετήσιο τζίρο κάτω από 50.000€ αυξήθηκαν το 2020 σε σχέση με το 2019 κατά 10 ποσοστιαίες μονάδες. Αύξηση καταγράφεται επίσης στις επιχειρήσεις που δηλώνουν ετήσιο τζίρο από 50.000 έως 100.000 €. Από την άλλη μεριά όσο μεγαλώνει ο ετήσιος τζίρος μειώνεται το αντίστοιχο ποσοστό των επιχειρήσεων.  </w:t>
      </w:r>
    </w:p>
    <w:p w14:paraId="40E8BAA9" w14:textId="45352C56" w:rsidR="00B77B52" w:rsidRPr="00E36734" w:rsidRDefault="00B77B52" w:rsidP="00A417BC">
      <w:p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 xml:space="preserve">Συγκεκριμένα, οι επιχειρήσεις που δήλωσαν ετήσιο τζίρο κάτω από 50.000 € αντιστοιχούν στο 44,6% των μικρών και πολύ μικρών επιχειρήσεων έναντι του 34,1% που ήταν το 2019. </w:t>
      </w:r>
      <w:r w:rsidR="00274A97" w:rsidRPr="00E36734">
        <w:rPr>
          <w:rFonts w:ascii="Times New Roman" w:hAnsi="Times New Roman" w:cs="Times New Roman"/>
          <w:sz w:val="24"/>
          <w:szCs w:val="24"/>
        </w:rPr>
        <w:t>Επιπλέον,</w:t>
      </w:r>
      <w:r w:rsidRPr="00E36734">
        <w:rPr>
          <w:rFonts w:ascii="Times New Roman" w:hAnsi="Times New Roman" w:cs="Times New Roman"/>
          <w:sz w:val="24"/>
          <w:szCs w:val="24"/>
        </w:rPr>
        <w:t xml:space="preserve"> το 18,6% δήλωσε ετήσιο τζίρο το 2020 από 50.000 έως 100.000 € έναντι 15,9% </w:t>
      </w:r>
      <w:r w:rsidR="00274A97" w:rsidRPr="00E36734">
        <w:rPr>
          <w:rFonts w:ascii="Times New Roman" w:hAnsi="Times New Roman" w:cs="Times New Roman"/>
          <w:sz w:val="24"/>
          <w:szCs w:val="24"/>
        </w:rPr>
        <w:t xml:space="preserve">που ήταν </w:t>
      </w:r>
      <w:r w:rsidRPr="00E36734">
        <w:rPr>
          <w:rFonts w:ascii="Times New Roman" w:hAnsi="Times New Roman" w:cs="Times New Roman"/>
          <w:sz w:val="24"/>
          <w:szCs w:val="24"/>
        </w:rPr>
        <w:t xml:space="preserve">2019, το 14,4% </w:t>
      </w:r>
      <w:r w:rsidR="003726B2" w:rsidRPr="00E36734">
        <w:rPr>
          <w:rFonts w:ascii="Times New Roman" w:hAnsi="Times New Roman" w:cs="Times New Roman"/>
          <w:sz w:val="24"/>
          <w:szCs w:val="24"/>
        </w:rPr>
        <w:t xml:space="preserve">δήλωσε </w:t>
      </w:r>
      <w:r w:rsidR="00274A97" w:rsidRPr="00E36734">
        <w:rPr>
          <w:rFonts w:ascii="Times New Roman" w:hAnsi="Times New Roman" w:cs="Times New Roman"/>
          <w:sz w:val="24"/>
          <w:szCs w:val="24"/>
        </w:rPr>
        <w:t xml:space="preserve">ετήσιο τζίρο </w:t>
      </w:r>
      <w:r w:rsidR="003726B2" w:rsidRPr="00E36734">
        <w:rPr>
          <w:rFonts w:ascii="Times New Roman" w:hAnsi="Times New Roman" w:cs="Times New Roman"/>
          <w:sz w:val="24"/>
          <w:szCs w:val="24"/>
        </w:rPr>
        <w:t xml:space="preserve">από </w:t>
      </w:r>
      <w:r w:rsidRPr="00E36734">
        <w:rPr>
          <w:rFonts w:ascii="Times New Roman" w:hAnsi="Times New Roman" w:cs="Times New Roman"/>
          <w:sz w:val="24"/>
          <w:szCs w:val="24"/>
        </w:rPr>
        <w:t xml:space="preserve">100.000 έως 300.000 € έναντι 19,9% </w:t>
      </w:r>
      <w:r w:rsidR="003726B2" w:rsidRPr="00E36734">
        <w:rPr>
          <w:rFonts w:ascii="Times New Roman" w:hAnsi="Times New Roman" w:cs="Times New Roman"/>
          <w:sz w:val="24"/>
          <w:szCs w:val="24"/>
        </w:rPr>
        <w:t xml:space="preserve">που ήταν </w:t>
      </w:r>
      <w:r w:rsidRPr="00E36734">
        <w:rPr>
          <w:rFonts w:ascii="Times New Roman" w:hAnsi="Times New Roman" w:cs="Times New Roman"/>
          <w:sz w:val="24"/>
          <w:szCs w:val="24"/>
        </w:rPr>
        <w:t xml:space="preserve">το 2019, το 5,7% </w:t>
      </w:r>
      <w:r w:rsidR="003726B2" w:rsidRPr="00E36734">
        <w:rPr>
          <w:rFonts w:ascii="Times New Roman" w:hAnsi="Times New Roman" w:cs="Times New Roman"/>
          <w:sz w:val="24"/>
          <w:szCs w:val="24"/>
        </w:rPr>
        <w:t xml:space="preserve">δήλωσε ετήσιο τζίρο από </w:t>
      </w:r>
      <w:r w:rsidRPr="00E36734">
        <w:rPr>
          <w:rFonts w:ascii="Times New Roman" w:hAnsi="Times New Roman" w:cs="Times New Roman"/>
          <w:sz w:val="24"/>
          <w:szCs w:val="24"/>
        </w:rPr>
        <w:t xml:space="preserve">300.000 έως 500.000 € </w:t>
      </w:r>
      <w:r w:rsidR="00BC259B" w:rsidRPr="00E36734">
        <w:rPr>
          <w:rFonts w:ascii="Times New Roman" w:hAnsi="Times New Roman" w:cs="Times New Roman"/>
          <w:sz w:val="24"/>
          <w:szCs w:val="24"/>
        </w:rPr>
        <w:t>έναντι</w:t>
      </w:r>
      <w:r w:rsidRPr="00E36734">
        <w:rPr>
          <w:rFonts w:ascii="Times New Roman" w:hAnsi="Times New Roman" w:cs="Times New Roman"/>
          <w:sz w:val="24"/>
          <w:szCs w:val="24"/>
        </w:rPr>
        <w:t xml:space="preserve"> του 8,7% </w:t>
      </w:r>
      <w:r w:rsidR="003726B2" w:rsidRPr="00E36734">
        <w:rPr>
          <w:rFonts w:ascii="Times New Roman" w:hAnsi="Times New Roman" w:cs="Times New Roman"/>
          <w:sz w:val="24"/>
          <w:szCs w:val="24"/>
        </w:rPr>
        <w:t xml:space="preserve">που ήταν </w:t>
      </w:r>
      <w:r w:rsidRPr="00E36734">
        <w:rPr>
          <w:rFonts w:ascii="Times New Roman" w:hAnsi="Times New Roman" w:cs="Times New Roman"/>
          <w:sz w:val="24"/>
          <w:szCs w:val="24"/>
        </w:rPr>
        <w:t xml:space="preserve">το 2019, το 4,2% </w:t>
      </w:r>
      <w:r w:rsidR="003726B2" w:rsidRPr="00E36734">
        <w:rPr>
          <w:rFonts w:ascii="Times New Roman" w:hAnsi="Times New Roman" w:cs="Times New Roman"/>
          <w:sz w:val="24"/>
          <w:szCs w:val="24"/>
        </w:rPr>
        <w:t xml:space="preserve">δήλωσε ετήσιο τζίρο από </w:t>
      </w:r>
      <w:r w:rsidRPr="00E36734">
        <w:rPr>
          <w:rFonts w:ascii="Times New Roman" w:hAnsi="Times New Roman" w:cs="Times New Roman"/>
          <w:sz w:val="24"/>
          <w:szCs w:val="24"/>
        </w:rPr>
        <w:t xml:space="preserve">500.000 έως 1.000.000 € έναντι 5,1% το 2019 και το 7,2% </w:t>
      </w:r>
      <w:r w:rsidR="003726B2" w:rsidRPr="00E36734">
        <w:rPr>
          <w:rFonts w:ascii="Times New Roman" w:hAnsi="Times New Roman" w:cs="Times New Roman"/>
          <w:sz w:val="24"/>
          <w:szCs w:val="24"/>
        </w:rPr>
        <w:t xml:space="preserve">δήλωσε </w:t>
      </w:r>
      <w:r w:rsidRPr="00E36734">
        <w:rPr>
          <w:rFonts w:ascii="Times New Roman" w:hAnsi="Times New Roman" w:cs="Times New Roman"/>
          <w:sz w:val="24"/>
          <w:szCs w:val="24"/>
        </w:rPr>
        <w:t xml:space="preserve">ετήσιο τζίρο πάνω από 1 εκατομμύριο ευρώ έναντι του 8,2% </w:t>
      </w:r>
      <w:r w:rsidR="003726B2" w:rsidRPr="00E36734">
        <w:rPr>
          <w:rFonts w:ascii="Times New Roman" w:hAnsi="Times New Roman" w:cs="Times New Roman"/>
          <w:sz w:val="24"/>
          <w:szCs w:val="24"/>
        </w:rPr>
        <w:t xml:space="preserve">που ήταν </w:t>
      </w:r>
      <w:r w:rsidRPr="00E36734">
        <w:rPr>
          <w:rFonts w:ascii="Times New Roman" w:hAnsi="Times New Roman" w:cs="Times New Roman"/>
          <w:sz w:val="24"/>
          <w:szCs w:val="24"/>
        </w:rPr>
        <w:t>το 2019.</w:t>
      </w:r>
    </w:p>
    <w:p w14:paraId="4D9013A6" w14:textId="7802352E" w:rsidR="00B77B52" w:rsidRPr="00E36734" w:rsidRDefault="00B77B52" w:rsidP="00A417BC">
      <w:p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Από τα επιμέρους στοιχεία οι μεγαλύτερες συγκεντρώσεις επιχειρήσεις στην χαμηλότερη κατηγορία ετήσιου τζίρου, δηλαδή κάτω από 50.000 €, παρατηρούνται στις υπηρεσίες (58,2%) στις επιχειρήσεις χωρίς προσωπικό (75,2%) και στις επιχειρήσεις που ανέστειλαν τη λειτουργία τους με κρατική εντολή (52,9%).</w:t>
      </w:r>
    </w:p>
    <w:bookmarkEnd w:id="9"/>
    <w:p w14:paraId="4F26A115" w14:textId="77777777" w:rsidR="00D25A9C" w:rsidRPr="00E36734" w:rsidRDefault="00D25A9C" w:rsidP="00A417BC">
      <w:pPr>
        <w:spacing w:after="0" w:line="360" w:lineRule="auto"/>
        <w:jc w:val="both"/>
        <w:rPr>
          <w:rFonts w:ascii="Times New Roman" w:hAnsi="Times New Roman" w:cs="Times New Roman"/>
          <w:sz w:val="24"/>
          <w:szCs w:val="24"/>
        </w:rPr>
      </w:pPr>
    </w:p>
    <w:p w14:paraId="1AEE02C4" w14:textId="77777777" w:rsidR="00D25A9C" w:rsidRPr="00E36734" w:rsidRDefault="00D25A9C" w:rsidP="00A417BC">
      <w:pPr>
        <w:spacing w:after="0" w:line="360" w:lineRule="auto"/>
        <w:jc w:val="both"/>
        <w:rPr>
          <w:rFonts w:ascii="Times New Roman" w:hAnsi="Times New Roman" w:cs="Times New Roman"/>
          <w:sz w:val="24"/>
          <w:szCs w:val="24"/>
        </w:rPr>
      </w:pPr>
    </w:p>
    <w:p w14:paraId="1429ED3A" w14:textId="42D94123" w:rsidR="00D25A9C" w:rsidRPr="00E36734" w:rsidRDefault="00D25A9C" w:rsidP="00A417BC">
      <w:pPr>
        <w:spacing w:after="0" w:line="360" w:lineRule="auto"/>
        <w:jc w:val="both"/>
        <w:rPr>
          <w:rFonts w:ascii="Times New Roman" w:hAnsi="Times New Roman" w:cs="Times New Roman"/>
          <w:sz w:val="24"/>
          <w:szCs w:val="24"/>
        </w:rPr>
      </w:pPr>
      <w:r w:rsidRPr="00E36734">
        <w:rPr>
          <w:noProof/>
          <w:lang w:eastAsia="el-GR"/>
        </w:rPr>
        <w:drawing>
          <wp:inline distT="0" distB="0" distL="0" distR="0" wp14:anchorId="23A4BACD" wp14:editId="065128DF">
            <wp:extent cx="6499860" cy="2880360"/>
            <wp:effectExtent l="0" t="0" r="15240" b="15240"/>
            <wp:docPr id="1" name="Γράφημα 1">
              <a:extLst xmlns:a="http://schemas.openxmlformats.org/drawingml/2006/main">
                <a:ext uri="{FF2B5EF4-FFF2-40B4-BE49-F238E27FC236}">
                  <a16:creationId xmlns:a16="http://schemas.microsoft.com/office/drawing/2014/main" id="{AB914BEA-5232-43BC-B996-80B076443A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6EC9D2" w14:textId="1BDB2CA2" w:rsidR="00D25A9C" w:rsidRPr="00E36734" w:rsidRDefault="00D25A9C" w:rsidP="00A417BC">
      <w:pPr>
        <w:spacing w:after="0" w:line="360" w:lineRule="auto"/>
        <w:jc w:val="both"/>
        <w:rPr>
          <w:rFonts w:ascii="Times New Roman" w:hAnsi="Times New Roman" w:cs="Times New Roman"/>
          <w:sz w:val="24"/>
          <w:szCs w:val="24"/>
        </w:rPr>
      </w:pPr>
    </w:p>
    <w:p w14:paraId="424C1067" w14:textId="7346FC00" w:rsidR="00F76EE1" w:rsidRPr="00E36734" w:rsidRDefault="00F76EE1" w:rsidP="00A417BC">
      <w:pPr>
        <w:spacing w:after="0" w:line="360" w:lineRule="auto"/>
        <w:jc w:val="both"/>
        <w:rPr>
          <w:rFonts w:ascii="Times New Roman" w:hAnsi="Times New Roman" w:cs="Times New Roman"/>
          <w:sz w:val="24"/>
          <w:szCs w:val="24"/>
        </w:rPr>
      </w:pPr>
      <w:bookmarkStart w:id="10" w:name="_Hlk68246135"/>
      <w:r w:rsidRPr="00E36734">
        <w:rPr>
          <w:rFonts w:ascii="Times New Roman" w:hAnsi="Times New Roman" w:cs="Times New Roman"/>
          <w:sz w:val="24"/>
          <w:szCs w:val="24"/>
        </w:rPr>
        <w:t xml:space="preserve">Όσον αφορά τις επιχειρήσεις εστίασης </w:t>
      </w:r>
      <w:r w:rsidR="00B158EC" w:rsidRPr="00E36734">
        <w:rPr>
          <w:rFonts w:ascii="Times New Roman" w:hAnsi="Times New Roman" w:cs="Times New Roman"/>
          <w:sz w:val="24"/>
          <w:szCs w:val="24"/>
        </w:rPr>
        <w:t>α</w:t>
      </w:r>
      <w:r w:rsidRPr="00E36734">
        <w:rPr>
          <w:rFonts w:ascii="Times New Roman" w:hAnsi="Times New Roman" w:cs="Times New Roman"/>
          <w:sz w:val="24"/>
          <w:szCs w:val="24"/>
        </w:rPr>
        <w:t>πό τα ευρήματα</w:t>
      </w:r>
      <w:r w:rsidR="00B158EC" w:rsidRPr="00E36734">
        <w:rPr>
          <w:rFonts w:ascii="Times New Roman" w:hAnsi="Times New Roman" w:cs="Times New Roman"/>
          <w:sz w:val="24"/>
          <w:szCs w:val="24"/>
        </w:rPr>
        <w:t xml:space="preserve"> της έρευνας</w:t>
      </w:r>
      <w:r w:rsidRPr="00E36734">
        <w:rPr>
          <w:rFonts w:ascii="Times New Roman" w:hAnsi="Times New Roman" w:cs="Times New Roman"/>
          <w:sz w:val="24"/>
          <w:szCs w:val="24"/>
        </w:rPr>
        <w:t xml:space="preserve"> φαίνεται πως έχουν </w:t>
      </w:r>
      <w:r w:rsidR="00B158EC" w:rsidRPr="00E36734">
        <w:rPr>
          <w:rFonts w:ascii="Times New Roman" w:hAnsi="Times New Roman" w:cs="Times New Roman"/>
          <w:sz w:val="24"/>
          <w:szCs w:val="24"/>
        </w:rPr>
        <w:t>υπερ</w:t>
      </w:r>
      <w:r w:rsidRPr="00E36734">
        <w:rPr>
          <w:rFonts w:ascii="Times New Roman" w:hAnsi="Times New Roman" w:cs="Times New Roman"/>
          <w:sz w:val="24"/>
          <w:szCs w:val="24"/>
        </w:rPr>
        <w:t>διπλασιαστεί οι επιχειρήσεις που δηλώνουν ετήσιο κύκλο εργασιών κάτω από 50.000 €</w:t>
      </w:r>
      <w:r w:rsidR="00B158EC" w:rsidRPr="00E36734">
        <w:rPr>
          <w:rFonts w:ascii="Times New Roman" w:hAnsi="Times New Roman" w:cs="Times New Roman"/>
          <w:sz w:val="24"/>
          <w:szCs w:val="24"/>
        </w:rPr>
        <w:t>. Από το</w:t>
      </w:r>
      <w:r w:rsidRPr="00E36734">
        <w:rPr>
          <w:rFonts w:ascii="Times New Roman" w:hAnsi="Times New Roman" w:cs="Times New Roman"/>
          <w:sz w:val="24"/>
          <w:szCs w:val="24"/>
        </w:rPr>
        <w:t xml:space="preserve"> </w:t>
      </w:r>
      <w:r w:rsidR="00B158EC" w:rsidRPr="00E36734">
        <w:rPr>
          <w:rFonts w:ascii="Times New Roman" w:hAnsi="Times New Roman" w:cs="Times New Roman"/>
          <w:sz w:val="24"/>
          <w:szCs w:val="24"/>
        </w:rPr>
        <w:t xml:space="preserve">23,1% που ήταν το 2019 ανήλθε στο 48,5 το ποσοστό των επιχειρήσεων του κλάδου που δήλωσε πως ο ετήσιος τζίρος του το 2020 ήταν κάτω από 50.000 €. </w:t>
      </w:r>
    </w:p>
    <w:p w14:paraId="053E7F52" w14:textId="0CCBC906" w:rsidR="00FA1CB8" w:rsidRPr="00E36734" w:rsidRDefault="00FA1CB8" w:rsidP="00A417BC">
      <w:p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Ανάλογα είναι και τα στοιχεία σχετικά με τον ισολογισμό (έσοδα – έξοδα) των μικρών και πολύ μικρών επιχειρήσεων. Όπως φαίνεται στο Γράφημα</w:t>
      </w:r>
      <w:r w:rsidR="003726B2" w:rsidRPr="00E36734">
        <w:rPr>
          <w:rFonts w:ascii="Times New Roman" w:hAnsi="Times New Roman" w:cs="Times New Roman"/>
          <w:sz w:val="24"/>
          <w:szCs w:val="24"/>
        </w:rPr>
        <w:t xml:space="preserve"> 8</w:t>
      </w:r>
      <w:r w:rsidRPr="00E36734">
        <w:rPr>
          <w:rFonts w:ascii="Times New Roman" w:hAnsi="Times New Roman" w:cs="Times New Roman"/>
          <w:sz w:val="24"/>
          <w:szCs w:val="24"/>
        </w:rPr>
        <w:t xml:space="preserve"> </w:t>
      </w:r>
      <w:r w:rsidR="003726B2" w:rsidRPr="00E36734">
        <w:rPr>
          <w:rFonts w:ascii="Times New Roman" w:hAnsi="Times New Roman" w:cs="Times New Roman"/>
          <w:sz w:val="24"/>
          <w:szCs w:val="24"/>
        </w:rPr>
        <w:t>σ</w:t>
      </w:r>
      <w:r w:rsidRPr="00E36734">
        <w:rPr>
          <w:rFonts w:ascii="Times New Roman" w:hAnsi="Times New Roman" w:cs="Times New Roman"/>
          <w:sz w:val="24"/>
          <w:szCs w:val="24"/>
        </w:rPr>
        <w:t xml:space="preserve">χεδόν </w:t>
      </w:r>
      <w:bookmarkStart w:id="11" w:name="_Hlk68074872"/>
      <w:r w:rsidRPr="00E36734">
        <w:rPr>
          <w:rFonts w:ascii="Times New Roman" w:hAnsi="Times New Roman" w:cs="Times New Roman"/>
          <w:sz w:val="24"/>
          <w:szCs w:val="24"/>
        </w:rPr>
        <w:t>διπλασιάστηκαν οι επιχειρήσεις που</w:t>
      </w:r>
      <w:r w:rsidR="00E22D6F" w:rsidRPr="00E36734">
        <w:rPr>
          <w:rFonts w:ascii="Times New Roman" w:hAnsi="Times New Roman" w:cs="Times New Roman"/>
          <w:sz w:val="24"/>
          <w:szCs w:val="24"/>
        </w:rPr>
        <w:t xml:space="preserve"> το 2020</w:t>
      </w:r>
      <w:r w:rsidRPr="00E36734">
        <w:rPr>
          <w:rFonts w:ascii="Times New Roman" w:hAnsi="Times New Roman" w:cs="Times New Roman"/>
          <w:sz w:val="24"/>
          <w:szCs w:val="24"/>
        </w:rPr>
        <w:t xml:space="preserve"> σε σύγκριση με το 2019 </w:t>
      </w:r>
      <w:r w:rsidR="00E22D6F" w:rsidRPr="00E36734">
        <w:rPr>
          <w:rFonts w:ascii="Times New Roman" w:hAnsi="Times New Roman" w:cs="Times New Roman"/>
          <w:sz w:val="24"/>
          <w:szCs w:val="24"/>
        </w:rPr>
        <w:t>κατέγραψαν</w:t>
      </w:r>
      <w:r w:rsidRPr="00E36734">
        <w:rPr>
          <w:rFonts w:ascii="Times New Roman" w:hAnsi="Times New Roman" w:cs="Times New Roman"/>
          <w:sz w:val="24"/>
          <w:szCs w:val="24"/>
        </w:rPr>
        <w:t xml:space="preserve"> ζημιές</w:t>
      </w:r>
      <w:r w:rsidR="008A710D" w:rsidRPr="00E36734">
        <w:rPr>
          <w:rFonts w:ascii="Times New Roman" w:hAnsi="Times New Roman" w:cs="Times New Roman"/>
          <w:sz w:val="24"/>
          <w:szCs w:val="24"/>
        </w:rPr>
        <w:t xml:space="preserve"> (47,8% από 27,6%)</w:t>
      </w:r>
      <w:r w:rsidRPr="00E36734">
        <w:rPr>
          <w:rFonts w:ascii="Times New Roman" w:hAnsi="Times New Roman" w:cs="Times New Roman"/>
          <w:sz w:val="24"/>
          <w:szCs w:val="24"/>
        </w:rPr>
        <w:t>, ενώ</w:t>
      </w:r>
      <w:r w:rsidR="008A710D" w:rsidRPr="00E36734">
        <w:rPr>
          <w:rFonts w:ascii="Times New Roman" w:hAnsi="Times New Roman" w:cs="Times New Roman"/>
          <w:sz w:val="24"/>
          <w:szCs w:val="24"/>
        </w:rPr>
        <w:t xml:space="preserve"> υποδιπλασιάστηκαν οι επιχειρήσεις που κατέγραψαν κέρδη (27,3% το 2020 από 55,2% το 2019).</w:t>
      </w:r>
      <w:bookmarkEnd w:id="11"/>
    </w:p>
    <w:bookmarkEnd w:id="10"/>
    <w:p w14:paraId="1A5FB6B7" w14:textId="77777777" w:rsidR="00BC259B" w:rsidRPr="00E36734" w:rsidRDefault="00BC259B" w:rsidP="00A417BC">
      <w:pPr>
        <w:spacing w:after="0" w:line="360" w:lineRule="auto"/>
        <w:jc w:val="both"/>
        <w:rPr>
          <w:rFonts w:ascii="Times New Roman" w:hAnsi="Times New Roman" w:cs="Times New Roman"/>
          <w:sz w:val="24"/>
          <w:szCs w:val="24"/>
        </w:rPr>
      </w:pPr>
    </w:p>
    <w:p w14:paraId="194F6A3C" w14:textId="77777777" w:rsidR="00BC259B" w:rsidRPr="00E36734" w:rsidRDefault="00BC259B" w:rsidP="00A417BC">
      <w:pPr>
        <w:spacing w:after="0" w:line="360" w:lineRule="auto"/>
        <w:jc w:val="both"/>
        <w:rPr>
          <w:rFonts w:ascii="Times New Roman" w:hAnsi="Times New Roman" w:cs="Times New Roman"/>
          <w:sz w:val="24"/>
          <w:szCs w:val="24"/>
        </w:rPr>
      </w:pPr>
    </w:p>
    <w:p w14:paraId="2F7A05E9" w14:textId="0CCACCB2" w:rsidR="003726B2" w:rsidRPr="00E36734" w:rsidRDefault="003726B2" w:rsidP="00B158EC">
      <w:pPr>
        <w:spacing w:after="0" w:line="360" w:lineRule="auto"/>
        <w:jc w:val="center"/>
        <w:rPr>
          <w:rFonts w:ascii="Times New Roman" w:hAnsi="Times New Roman" w:cs="Times New Roman"/>
          <w:b/>
          <w:bCs/>
          <w:sz w:val="24"/>
          <w:szCs w:val="24"/>
        </w:rPr>
      </w:pPr>
      <w:r w:rsidRPr="00E36734">
        <w:rPr>
          <w:rFonts w:ascii="Times New Roman" w:hAnsi="Times New Roman" w:cs="Times New Roman"/>
          <w:b/>
          <w:bCs/>
          <w:sz w:val="24"/>
          <w:szCs w:val="24"/>
        </w:rPr>
        <w:t>Γράφημα 8</w:t>
      </w:r>
    </w:p>
    <w:p w14:paraId="4D9D54EC" w14:textId="23F2AA3F" w:rsidR="00B158EC" w:rsidRPr="00E36734" w:rsidRDefault="00B158EC" w:rsidP="00B158EC">
      <w:pPr>
        <w:spacing w:after="0" w:line="360" w:lineRule="auto"/>
        <w:jc w:val="center"/>
        <w:rPr>
          <w:rFonts w:ascii="Times New Roman" w:hAnsi="Times New Roman" w:cs="Times New Roman"/>
          <w:b/>
          <w:bCs/>
          <w:sz w:val="24"/>
          <w:szCs w:val="24"/>
        </w:rPr>
      </w:pPr>
      <w:r w:rsidRPr="00E36734">
        <w:rPr>
          <w:rFonts w:ascii="Times New Roman" w:hAnsi="Times New Roman" w:cs="Times New Roman"/>
          <w:b/>
          <w:bCs/>
          <w:sz w:val="24"/>
          <w:szCs w:val="24"/>
        </w:rPr>
        <w:t>ΣΥΚΡΙΣΗ ΙΣΟΛΟΓΙΣΜΩΝ (ΕΣΟΔΑ – ΕΞΟΔΑ) 2 ΤΕΛΕΥΤΑΙΩΝ ΕΤΩΝ</w:t>
      </w:r>
    </w:p>
    <w:p w14:paraId="4225673B" w14:textId="27CFC76A" w:rsidR="00BC259B" w:rsidRPr="00E36734" w:rsidRDefault="00B158EC" w:rsidP="00B158EC">
      <w:pPr>
        <w:spacing w:after="0" w:line="360" w:lineRule="auto"/>
        <w:jc w:val="center"/>
        <w:rPr>
          <w:rFonts w:ascii="Times New Roman" w:hAnsi="Times New Roman" w:cs="Times New Roman"/>
          <w:b/>
          <w:bCs/>
          <w:sz w:val="24"/>
          <w:szCs w:val="24"/>
        </w:rPr>
      </w:pPr>
      <w:r w:rsidRPr="00E36734">
        <w:rPr>
          <w:rFonts w:ascii="Times New Roman" w:hAnsi="Times New Roman" w:cs="Times New Roman"/>
          <w:b/>
          <w:bCs/>
          <w:sz w:val="24"/>
          <w:szCs w:val="24"/>
        </w:rPr>
        <w:t>ΣΥΓΚΡΙΤΙΚΟ ΓΡΑΦΗΜΑ</w:t>
      </w:r>
    </w:p>
    <w:p w14:paraId="0D8DF34A" w14:textId="14CBD907" w:rsidR="00BC259B" w:rsidRPr="00E36734" w:rsidRDefault="00B158EC" w:rsidP="00A417BC">
      <w:pPr>
        <w:spacing w:after="0" w:line="360" w:lineRule="auto"/>
        <w:jc w:val="both"/>
        <w:rPr>
          <w:rFonts w:ascii="Times New Roman" w:hAnsi="Times New Roman" w:cs="Times New Roman"/>
          <w:sz w:val="24"/>
          <w:szCs w:val="24"/>
        </w:rPr>
      </w:pPr>
      <w:r w:rsidRPr="00E36734">
        <w:rPr>
          <w:rFonts w:ascii="Times New Roman" w:hAnsi="Times New Roman" w:cs="Times New Roman"/>
          <w:noProof/>
          <w:sz w:val="24"/>
          <w:szCs w:val="24"/>
          <w:lang w:eastAsia="el-GR"/>
        </w:rPr>
        <w:drawing>
          <wp:inline distT="0" distB="0" distL="0" distR="0" wp14:anchorId="6B519A1D" wp14:editId="163C5EFA">
            <wp:extent cx="6570980" cy="4176395"/>
            <wp:effectExtent l="0" t="0" r="1270" b="14605"/>
            <wp:docPr id="7"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BD8AA4F" w14:textId="7C28BDBA" w:rsidR="00BC259B" w:rsidRPr="00E36734" w:rsidRDefault="008A710D" w:rsidP="00A417BC">
      <w:p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 xml:space="preserve">Οι μεγαλύτερες συγκεντρώσεις </w:t>
      </w:r>
      <w:r w:rsidR="00344F20" w:rsidRPr="00E36734">
        <w:rPr>
          <w:rFonts w:ascii="Times New Roman" w:hAnsi="Times New Roman" w:cs="Times New Roman"/>
          <w:sz w:val="24"/>
          <w:szCs w:val="24"/>
        </w:rPr>
        <w:t>ανά</w:t>
      </w:r>
      <w:r w:rsidRPr="00E36734">
        <w:rPr>
          <w:rFonts w:ascii="Times New Roman" w:hAnsi="Times New Roman" w:cs="Times New Roman"/>
          <w:sz w:val="24"/>
          <w:szCs w:val="24"/>
        </w:rPr>
        <w:t xml:space="preserve"> κατηγορία επιχειρήσεων που παρουσίασαν ζημιές το 2020 παρατηρούνται στις Υπηρεσίες (50,8%), και στις επιχειρήσεις με ετήσιο τζίρο κάτω από 50.000 € (59,4%).</w:t>
      </w:r>
    </w:p>
    <w:p w14:paraId="27FA75FF" w14:textId="44FE2B2F" w:rsidR="008A710D" w:rsidRPr="00E36734" w:rsidRDefault="008A710D" w:rsidP="00A417BC">
      <w:p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lastRenderedPageBreak/>
        <w:t>Επιπλέον</w:t>
      </w:r>
      <w:r w:rsidR="00547F34" w:rsidRPr="00E36734">
        <w:rPr>
          <w:rFonts w:ascii="Times New Roman" w:hAnsi="Times New Roman" w:cs="Times New Roman"/>
          <w:sz w:val="24"/>
          <w:szCs w:val="24"/>
        </w:rPr>
        <w:t>,</w:t>
      </w:r>
      <w:r w:rsidRPr="00E36734">
        <w:rPr>
          <w:rFonts w:ascii="Times New Roman" w:hAnsi="Times New Roman" w:cs="Times New Roman"/>
          <w:sz w:val="24"/>
          <w:szCs w:val="24"/>
        </w:rPr>
        <w:t xml:space="preserve"> όπως φαίνεται στον Πίνακα </w:t>
      </w:r>
      <w:r w:rsidR="003726B2" w:rsidRPr="00E36734">
        <w:rPr>
          <w:rFonts w:ascii="Times New Roman" w:hAnsi="Times New Roman" w:cs="Times New Roman"/>
          <w:sz w:val="24"/>
          <w:szCs w:val="24"/>
        </w:rPr>
        <w:t>3</w:t>
      </w:r>
      <w:r w:rsidR="00547F34" w:rsidRPr="00E36734">
        <w:rPr>
          <w:rFonts w:ascii="Times New Roman" w:hAnsi="Times New Roman" w:cs="Times New Roman"/>
          <w:sz w:val="24"/>
          <w:szCs w:val="24"/>
        </w:rPr>
        <w:t>,</w:t>
      </w:r>
      <w:r w:rsidRPr="00E36734">
        <w:rPr>
          <w:rFonts w:ascii="Times New Roman" w:hAnsi="Times New Roman" w:cs="Times New Roman"/>
          <w:sz w:val="24"/>
          <w:szCs w:val="24"/>
        </w:rPr>
        <w:t xml:space="preserve"> με ζημιές έκλεισε το 2020 για το 66,5% των επιχειρήσεων που ανέστειλαν την λειτουργία τους με κρατική εντολή</w:t>
      </w:r>
      <w:r w:rsidR="00FD445D" w:rsidRPr="00E36734">
        <w:rPr>
          <w:rFonts w:ascii="Times New Roman" w:hAnsi="Times New Roman" w:cs="Times New Roman"/>
          <w:sz w:val="24"/>
          <w:szCs w:val="24"/>
        </w:rPr>
        <w:t xml:space="preserve">, και </w:t>
      </w:r>
      <w:r w:rsidR="003726B2" w:rsidRPr="00E36734">
        <w:rPr>
          <w:rFonts w:ascii="Times New Roman" w:hAnsi="Times New Roman" w:cs="Times New Roman"/>
          <w:sz w:val="24"/>
          <w:szCs w:val="24"/>
        </w:rPr>
        <w:t xml:space="preserve">για </w:t>
      </w:r>
      <w:r w:rsidR="00FD445D" w:rsidRPr="00E36734">
        <w:rPr>
          <w:rFonts w:ascii="Times New Roman" w:hAnsi="Times New Roman" w:cs="Times New Roman"/>
          <w:sz w:val="24"/>
          <w:szCs w:val="24"/>
        </w:rPr>
        <w:t xml:space="preserve">το 69,1% των επιχειρήσεων εστίασης. </w:t>
      </w:r>
    </w:p>
    <w:p w14:paraId="7DDC3CF9" w14:textId="77777777" w:rsidR="008A710D" w:rsidRPr="00E36734" w:rsidRDefault="008A710D" w:rsidP="00A417BC">
      <w:pPr>
        <w:spacing w:after="0" w:line="36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635"/>
        <w:gridCol w:w="2226"/>
        <w:gridCol w:w="2096"/>
        <w:gridCol w:w="2204"/>
        <w:gridCol w:w="2204"/>
      </w:tblGrid>
      <w:tr w:rsidR="00FD445D" w:rsidRPr="00E36734" w14:paraId="45F9D0CC" w14:textId="79B5FF91" w:rsidTr="00FD445D">
        <w:trPr>
          <w:trHeight w:val="528"/>
        </w:trPr>
        <w:tc>
          <w:tcPr>
            <w:tcW w:w="789" w:type="pct"/>
            <w:vMerge w:val="restart"/>
            <w:shd w:val="clear" w:color="auto" w:fill="FDEADA"/>
            <w:tcMar>
              <w:top w:w="12" w:type="dxa"/>
              <w:left w:w="12" w:type="dxa"/>
              <w:bottom w:w="0" w:type="dxa"/>
              <w:right w:w="12" w:type="dxa"/>
            </w:tcMar>
            <w:vAlign w:val="center"/>
            <w:hideMark/>
          </w:tcPr>
          <w:p w14:paraId="027F6504" w14:textId="6C52F516" w:rsidR="003726B2" w:rsidRPr="00E36734" w:rsidRDefault="003726B2" w:rsidP="00FD445D">
            <w:pPr>
              <w:spacing w:after="0" w:line="240" w:lineRule="auto"/>
              <w:jc w:val="center"/>
              <w:rPr>
                <w:rFonts w:eastAsia="Times New Roman" w:cstheme="minorHAnsi"/>
                <w:b/>
                <w:bCs/>
                <w:sz w:val="20"/>
                <w:szCs w:val="20"/>
              </w:rPr>
            </w:pPr>
            <w:r w:rsidRPr="00E36734">
              <w:rPr>
                <w:rFonts w:eastAsia="Times New Roman" w:cstheme="minorHAnsi"/>
                <w:b/>
                <w:bCs/>
                <w:sz w:val="20"/>
                <w:szCs w:val="20"/>
              </w:rPr>
              <w:t>Πίνακας 3</w:t>
            </w:r>
          </w:p>
          <w:p w14:paraId="45913465" w14:textId="77777777" w:rsidR="003726B2" w:rsidRPr="00E36734" w:rsidRDefault="003726B2" w:rsidP="00FD445D">
            <w:pPr>
              <w:spacing w:after="0" w:line="240" w:lineRule="auto"/>
              <w:jc w:val="center"/>
              <w:rPr>
                <w:rFonts w:eastAsia="Times New Roman" w:cstheme="minorHAnsi"/>
                <w:b/>
                <w:bCs/>
                <w:sz w:val="20"/>
                <w:szCs w:val="20"/>
              </w:rPr>
            </w:pPr>
          </w:p>
          <w:p w14:paraId="2B899F64" w14:textId="3BF6B4B5" w:rsidR="00FD445D" w:rsidRPr="00E36734" w:rsidRDefault="00FD445D" w:rsidP="00FD445D">
            <w:pPr>
              <w:spacing w:after="0" w:line="240" w:lineRule="auto"/>
              <w:jc w:val="center"/>
              <w:rPr>
                <w:rFonts w:eastAsia="Times New Roman" w:cstheme="minorHAnsi"/>
                <w:sz w:val="18"/>
                <w:szCs w:val="18"/>
                <w:lang w:val="en-US"/>
              </w:rPr>
            </w:pPr>
            <w:r w:rsidRPr="00E36734">
              <w:rPr>
                <w:rFonts w:eastAsia="Times New Roman" w:cstheme="minorHAnsi"/>
                <w:sz w:val="18"/>
                <w:szCs w:val="18"/>
                <w:lang w:val="en-US"/>
              </w:rPr>
              <w:t>Ισολογισμός</w:t>
            </w:r>
          </w:p>
          <w:p w14:paraId="55A806FA" w14:textId="77777777" w:rsidR="00FD445D" w:rsidRPr="00E36734" w:rsidRDefault="00FD445D" w:rsidP="00FD445D">
            <w:pPr>
              <w:spacing w:after="0" w:line="240" w:lineRule="auto"/>
              <w:jc w:val="center"/>
              <w:rPr>
                <w:rFonts w:eastAsia="Times New Roman" w:cstheme="minorHAnsi"/>
                <w:sz w:val="18"/>
                <w:szCs w:val="18"/>
                <w:lang w:val="en-US"/>
              </w:rPr>
            </w:pPr>
            <w:r w:rsidRPr="00E36734">
              <w:rPr>
                <w:rFonts w:eastAsia="Times New Roman" w:cstheme="minorHAnsi"/>
                <w:sz w:val="18"/>
                <w:szCs w:val="18"/>
                <w:lang w:val="en-US"/>
              </w:rPr>
              <w:t xml:space="preserve">(έσοδα – έξοδα) </w:t>
            </w:r>
          </w:p>
          <w:p w14:paraId="1486E997" w14:textId="2BA0DF6C" w:rsidR="00FD445D" w:rsidRPr="00E36734" w:rsidRDefault="00FD445D" w:rsidP="00FD445D">
            <w:pPr>
              <w:spacing w:after="0" w:line="240" w:lineRule="auto"/>
              <w:jc w:val="center"/>
              <w:rPr>
                <w:rFonts w:eastAsia="Times New Roman" w:cstheme="minorHAnsi"/>
                <w:sz w:val="18"/>
                <w:szCs w:val="18"/>
                <w:lang w:val="en-US"/>
              </w:rPr>
            </w:pPr>
            <w:r w:rsidRPr="00E36734">
              <w:rPr>
                <w:rFonts w:eastAsia="Times New Roman" w:cstheme="minorHAnsi"/>
                <w:sz w:val="18"/>
                <w:szCs w:val="18"/>
                <w:lang w:val="en-US"/>
              </w:rPr>
              <w:t>2020</w:t>
            </w:r>
          </w:p>
        </w:tc>
        <w:tc>
          <w:tcPr>
            <w:tcW w:w="3147" w:type="pct"/>
            <w:gridSpan w:val="3"/>
            <w:shd w:val="clear" w:color="auto" w:fill="FDEADA"/>
            <w:tcMar>
              <w:top w:w="12" w:type="dxa"/>
              <w:left w:w="12" w:type="dxa"/>
              <w:bottom w:w="0" w:type="dxa"/>
              <w:right w:w="12" w:type="dxa"/>
            </w:tcMar>
            <w:vAlign w:val="center"/>
            <w:hideMark/>
          </w:tcPr>
          <w:p w14:paraId="16BC0433" w14:textId="77777777" w:rsidR="00FD445D" w:rsidRPr="00E36734" w:rsidRDefault="00FD445D" w:rsidP="00FD445D">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Επιχειρήσεις που το τελευταίο εξάμηνο...</w:t>
            </w:r>
          </w:p>
        </w:tc>
        <w:tc>
          <w:tcPr>
            <w:tcW w:w="1063" w:type="pct"/>
            <w:vMerge w:val="restart"/>
            <w:shd w:val="clear" w:color="auto" w:fill="FDEADA"/>
          </w:tcPr>
          <w:p w14:paraId="75D60920" w14:textId="77777777" w:rsidR="00FD445D" w:rsidRPr="00E36734" w:rsidRDefault="00FD445D" w:rsidP="00FD445D">
            <w:pPr>
              <w:spacing w:after="0" w:line="240" w:lineRule="auto"/>
              <w:jc w:val="center"/>
              <w:textAlignment w:val="center"/>
              <w:rPr>
                <w:rFonts w:eastAsia="Microsoft JhengHei UI" w:cstheme="minorHAnsi"/>
                <w:color w:val="000000"/>
                <w:kern w:val="24"/>
                <w:sz w:val="18"/>
                <w:szCs w:val="18"/>
              </w:rPr>
            </w:pPr>
          </w:p>
          <w:p w14:paraId="569F7984" w14:textId="77777777" w:rsidR="00FD445D" w:rsidRPr="00E36734" w:rsidRDefault="00FD445D" w:rsidP="00FD445D">
            <w:pPr>
              <w:spacing w:after="0" w:line="240" w:lineRule="auto"/>
              <w:jc w:val="center"/>
              <w:textAlignment w:val="center"/>
              <w:rPr>
                <w:rFonts w:eastAsia="Microsoft JhengHei UI" w:cstheme="minorHAnsi"/>
                <w:color w:val="000000"/>
                <w:kern w:val="24"/>
                <w:sz w:val="18"/>
                <w:szCs w:val="18"/>
              </w:rPr>
            </w:pPr>
          </w:p>
          <w:p w14:paraId="561D4868" w14:textId="77777777" w:rsidR="00FD445D" w:rsidRPr="00E36734" w:rsidRDefault="00FD445D" w:rsidP="00FD445D">
            <w:pPr>
              <w:spacing w:after="0" w:line="240" w:lineRule="auto"/>
              <w:jc w:val="center"/>
              <w:textAlignment w:val="center"/>
              <w:rPr>
                <w:rFonts w:eastAsia="Microsoft JhengHei UI" w:cstheme="minorHAnsi"/>
                <w:color w:val="000000"/>
                <w:kern w:val="24"/>
                <w:sz w:val="18"/>
                <w:szCs w:val="18"/>
              </w:rPr>
            </w:pPr>
          </w:p>
          <w:p w14:paraId="3FB73789" w14:textId="3F05A1CF" w:rsidR="00FD445D" w:rsidRPr="00E36734" w:rsidRDefault="00FD445D" w:rsidP="00FD445D">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Επιχειρήσεις </w:t>
            </w:r>
          </w:p>
          <w:p w14:paraId="561A53FD" w14:textId="72DA5603" w:rsidR="00FD445D" w:rsidRPr="00E36734" w:rsidRDefault="00FD445D" w:rsidP="00FD445D">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εστίασης</w:t>
            </w:r>
          </w:p>
        </w:tc>
      </w:tr>
      <w:tr w:rsidR="00FD445D" w:rsidRPr="00E36734" w14:paraId="1AAD47F2" w14:textId="4B14E38E" w:rsidTr="00FD445D">
        <w:trPr>
          <w:trHeight w:val="1183"/>
        </w:trPr>
        <w:tc>
          <w:tcPr>
            <w:tcW w:w="789" w:type="pct"/>
            <w:vMerge/>
            <w:shd w:val="clear" w:color="auto" w:fill="FDEADA"/>
            <w:tcMar>
              <w:top w:w="12" w:type="dxa"/>
              <w:left w:w="12" w:type="dxa"/>
              <w:bottom w:w="0" w:type="dxa"/>
              <w:right w:w="12" w:type="dxa"/>
            </w:tcMar>
            <w:vAlign w:val="center"/>
            <w:hideMark/>
          </w:tcPr>
          <w:p w14:paraId="1BCC0BC3" w14:textId="77777777" w:rsidR="00FD445D" w:rsidRPr="00E36734" w:rsidRDefault="00FD445D" w:rsidP="00FD445D">
            <w:pPr>
              <w:spacing w:after="0" w:line="240" w:lineRule="auto"/>
              <w:rPr>
                <w:rFonts w:eastAsia="Times New Roman" w:cstheme="minorHAnsi"/>
                <w:sz w:val="18"/>
                <w:szCs w:val="18"/>
              </w:rPr>
            </w:pPr>
          </w:p>
        </w:tc>
        <w:tc>
          <w:tcPr>
            <w:tcW w:w="1074" w:type="pct"/>
            <w:shd w:val="clear" w:color="auto" w:fill="FDEADA"/>
            <w:tcMar>
              <w:top w:w="12" w:type="dxa"/>
              <w:left w:w="12" w:type="dxa"/>
              <w:bottom w:w="0" w:type="dxa"/>
              <w:right w:w="12" w:type="dxa"/>
            </w:tcMar>
            <w:vAlign w:val="center"/>
            <w:hideMark/>
          </w:tcPr>
          <w:p w14:paraId="618B80F2" w14:textId="77777777" w:rsidR="00FD445D" w:rsidRPr="00E36734" w:rsidRDefault="00FD445D" w:rsidP="00FD445D">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ανέστειλαν την </w:t>
            </w:r>
          </w:p>
          <w:p w14:paraId="5C538FE5" w14:textId="77777777" w:rsidR="00FD445D" w:rsidRPr="00E36734" w:rsidRDefault="00FD445D" w:rsidP="00FD445D">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δραστηριότητα τους </w:t>
            </w:r>
          </w:p>
          <w:p w14:paraId="7DEBEFA8" w14:textId="3FDEAB04" w:rsidR="00FD445D" w:rsidRPr="00E36734" w:rsidRDefault="00FD445D" w:rsidP="00FD445D">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με κρατική εντολή</w:t>
            </w:r>
          </w:p>
        </w:tc>
        <w:tc>
          <w:tcPr>
            <w:tcW w:w="1011" w:type="pct"/>
            <w:shd w:val="clear" w:color="auto" w:fill="FDEADA"/>
            <w:tcMar>
              <w:top w:w="12" w:type="dxa"/>
              <w:left w:w="12" w:type="dxa"/>
              <w:bottom w:w="0" w:type="dxa"/>
              <w:right w:w="12" w:type="dxa"/>
            </w:tcMar>
            <w:vAlign w:val="center"/>
            <w:hideMark/>
          </w:tcPr>
          <w:p w14:paraId="5A9B8C42" w14:textId="77777777" w:rsidR="00FD445D" w:rsidRPr="00E36734" w:rsidRDefault="00FD445D" w:rsidP="00FD445D">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ανήκαν στις </w:t>
            </w:r>
          </w:p>
          <w:p w14:paraId="432FFF1F" w14:textId="77777777" w:rsidR="00FD445D" w:rsidRPr="00E36734" w:rsidRDefault="00FD445D" w:rsidP="00FD445D">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πληττόμενες βάσει </w:t>
            </w:r>
          </w:p>
          <w:p w14:paraId="5F560C98" w14:textId="1C60A894" w:rsidR="00FD445D" w:rsidRPr="00E36734" w:rsidRDefault="00FD445D" w:rsidP="00FD445D">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ΚΑΔ επιχειρήσεις</w:t>
            </w:r>
          </w:p>
        </w:tc>
        <w:tc>
          <w:tcPr>
            <w:tcW w:w="1063" w:type="pct"/>
            <w:shd w:val="clear" w:color="auto" w:fill="FDEADA"/>
            <w:tcMar>
              <w:top w:w="12" w:type="dxa"/>
              <w:left w:w="12" w:type="dxa"/>
              <w:bottom w:w="0" w:type="dxa"/>
              <w:right w:w="12" w:type="dxa"/>
            </w:tcMar>
            <w:vAlign w:val="center"/>
            <w:hideMark/>
          </w:tcPr>
          <w:p w14:paraId="79383CA0" w14:textId="77777777" w:rsidR="00FD445D" w:rsidRPr="00E36734" w:rsidRDefault="00FD445D" w:rsidP="00FD445D">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Δεν ανήκαν σε καμία </w:t>
            </w:r>
          </w:p>
          <w:p w14:paraId="032E1A22" w14:textId="19AE9101" w:rsidR="00FD445D" w:rsidRPr="00E36734" w:rsidRDefault="00FD445D" w:rsidP="00FD445D">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από τις παρακείμενες κατηγορίες</w:t>
            </w:r>
          </w:p>
        </w:tc>
        <w:tc>
          <w:tcPr>
            <w:tcW w:w="1063" w:type="pct"/>
            <w:vMerge/>
            <w:shd w:val="clear" w:color="auto" w:fill="FDEADA"/>
          </w:tcPr>
          <w:p w14:paraId="7B6AA5D5" w14:textId="77777777" w:rsidR="00FD445D" w:rsidRPr="00E36734" w:rsidRDefault="00FD445D" w:rsidP="00FD445D">
            <w:pPr>
              <w:spacing w:after="0" w:line="240" w:lineRule="auto"/>
              <w:jc w:val="center"/>
              <w:textAlignment w:val="center"/>
              <w:rPr>
                <w:rFonts w:eastAsia="Microsoft JhengHei UI" w:cstheme="minorHAnsi"/>
                <w:color w:val="000000"/>
                <w:kern w:val="24"/>
                <w:sz w:val="18"/>
                <w:szCs w:val="18"/>
              </w:rPr>
            </w:pPr>
          </w:p>
        </w:tc>
      </w:tr>
      <w:tr w:rsidR="00FD445D" w:rsidRPr="00E36734" w14:paraId="45AF58E4" w14:textId="4568E81F" w:rsidTr="00FD445D">
        <w:trPr>
          <w:trHeight w:val="528"/>
        </w:trPr>
        <w:tc>
          <w:tcPr>
            <w:tcW w:w="789" w:type="pct"/>
            <w:shd w:val="clear" w:color="auto" w:fill="FFFFFF"/>
            <w:tcMar>
              <w:top w:w="12" w:type="dxa"/>
              <w:left w:w="12" w:type="dxa"/>
              <w:bottom w:w="0" w:type="dxa"/>
              <w:right w:w="12" w:type="dxa"/>
            </w:tcMar>
            <w:vAlign w:val="center"/>
            <w:hideMark/>
          </w:tcPr>
          <w:p w14:paraId="04ADCE3C" w14:textId="77777777" w:rsidR="00FD445D" w:rsidRPr="00E36734" w:rsidRDefault="00FD445D" w:rsidP="00FD445D">
            <w:pPr>
              <w:spacing w:after="0" w:line="240" w:lineRule="auto"/>
              <w:textAlignment w:val="bottom"/>
              <w:rPr>
                <w:rFonts w:eastAsia="Times New Roman" w:cstheme="minorHAnsi"/>
                <w:sz w:val="18"/>
                <w:szCs w:val="18"/>
                <w:lang w:val="en-US"/>
              </w:rPr>
            </w:pPr>
            <w:r w:rsidRPr="00E36734">
              <w:rPr>
                <w:rFonts w:eastAsia="Microsoft JhengHei UI" w:cstheme="minorHAnsi"/>
                <w:color w:val="000000"/>
                <w:kern w:val="24"/>
                <w:sz w:val="18"/>
                <w:szCs w:val="18"/>
              </w:rPr>
              <w:t>Με Ζημιές</w:t>
            </w:r>
          </w:p>
        </w:tc>
        <w:tc>
          <w:tcPr>
            <w:tcW w:w="1074" w:type="pct"/>
            <w:shd w:val="clear" w:color="auto" w:fill="FFFFFF"/>
            <w:tcMar>
              <w:top w:w="12" w:type="dxa"/>
              <w:left w:w="12" w:type="dxa"/>
              <w:bottom w:w="0" w:type="dxa"/>
              <w:right w:w="12" w:type="dxa"/>
            </w:tcMar>
            <w:vAlign w:val="center"/>
            <w:hideMark/>
          </w:tcPr>
          <w:p w14:paraId="1ACD8A92" w14:textId="77777777" w:rsidR="00FD445D" w:rsidRPr="00E36734" w:rsidRDefault="00FD445D" w:rsidP="00FD445D">
            <w:pPr>
              <w:spacing w:after="0" w:line="240" w:lineRule="auto"/>
              <w:jc w:val="center"/>
              <w:textAlignment w:val="center"/>
              <w:rPr>
                <w:rFonts w:eastAsia="Times New Roman" w:cstheme="minorHAnsi"/>
                <w:sz w:val="18"/>
                <w:szCs w:val="18"/>
                <w:lang w:val="en-US"/>
              </w:rPr>
            </w:pPr>
            <w:r w:rsidRPr="00E36734">
              <w:rPr>
                <w:rFonts w:eastAsia="Microsoft JhengHei UI" w:cstheme="minorHAnsi"/>
                <w:b/>
                <w:bCs/>
                <w:color w:val="000000"/>
                <w:kern w:val="24"/>
                <w:sz w:val="18"/>
                <w:szCs w:val="18"/>
                <w:lang w:val="en-US"/>
              </w:rPr>
              <w:t>66.5</w:t>
            </w:r>
          </w:p>
        </w:tc>
        <w:tc>
          <w:tcPr>
            <w:tcW w:w="1011" w:type="pct"/>
            <w:shd w:val="clear" w:color="auto" w:fill="FFFFFF"/>
            <w:tcMar>
              <w:top w:w="12" w:type="dxa"/>
              <w:left w:w="12" w:type="dxa"/>
              <w:bottom w:w="0" w:type="dxa"/>
              <w:right w:w="12" w:type="dxa"/>
            </w:tcMar>
            <w:vAlign w:val="center"/>
            <w:hideMark/>
          </w:tcPr>
          <w:p w14:paraId="5A49D469" w14:textId="77777777" w:rsidR="00FD445D" w:rsidRPr="00E36734" w:rsidRDefault="00FD445D" w:rsidP="00FD445D">
            <w:pPr>
              <w:spacing w:after="0" w:line="240" w:lineRule="auto"/>
              <w:jc w:val="center"/>
              <w:textAlignment w:val="center"/>
              <w:rPr>
                <w:rFonts w:eastAsia="Times New Roman" w:cstheme="minorHAnsi"/>
                <w:sz w:val="18"/>
                <w:szCs w:val="18"/>
                <w:lang w:val="en-US"/>
              </w:rPr>
            </w:pPr>
            <w:r w:rsidRPr="00E36734">
              <w:rPr>
                <w:rFonts w:eastAsia="Microsoft JhengHei UI" w:cstheme="minorHAnsi"/>
                <w:b/>
                <w:bCs/>
                <w:color w:val="000000"/>
                <w:kern w:val="24"/>
                <w:sz w:val="18"/>
                <w:szCs w:val="18"/>
                <w:lang w:val="en-US"/>
              </w:rPr>
              <w:t>46.4</w:t>
            </w:r>
          </w:p>
        </w:tc>
        <w:tc>
          <w:tcPr>
            <w:tcW w:w="1063" w:type="pct"/>
            <w:shd w:val="clear" w:color="auto" w:fill="FFFFFF"/>
            <w:tcMar>
              <w:top w:w="12" w:type="dxa"/>
              <w:left w:w="12" w:type="dxa"/>
              <w:bottom w:w="0" w:type="dxa"/>
              <w:right w:w="12" w:type="dxa"/>
            </w:tcMar>
            <w:vAlign w:val="center"/>
            <w:hideMark/>
          </w:tcPr>
          <w:p w14:paraId="5D66A406" w14:textId="77777777" w:rsidR="00FD445D" w:rsidRPr="00E36734" w:rsidRDefault="00FD445D" w:rsidP="00FD445D">
            <w:pPr>
              <w:spacing w:after="0" w:line="240" w:lineRule="auto"/>
              <w:jc w:val="center"/>
              <w:textAlignment w:val="center"/>
              <w:rPr>
                <w:rFonts w:eastAsia="Times New Roman" w:cstheme="minorHAnsi"/>
                <w:sz w:val="18"/>
                <w:szCs w:val="18"/>
                <w:lang w:val="en-US"/>
              </w:rPr>
            </w:pPr>
            <w:r w:rsidRPr="00E36734">
              <w:rPr>
                <w:rFonts w:eastAsia="Microsoft JhengHei UI" w:cstheme="minorHAnsi"/>
                <w:color w:val="000000"/>
                <w:kern w:val="24"/>
                <w:sz w:val="18"/>
                <w:szCs w:val="18"/>
                <w:lang w:val="en-US"/>
              </w:rPr>
              <w:t>31.7</w:t>
            </w:r>
          </w:p>
        </w:tc>
        <w:tc>
          <w:tcPr>
            <w:tcW w:w="1063" w:type="pct"/>
            <w:shd w:val="clear" w:color="auto" w:fill="FFFFFF"/>
            <w:vAlign w:val="center"/>
          </w:tcPr>
          <w:p w14:paraId="649DBDF5" w14:textId="0BA8710A" w:rsidR="00FD445D" w:rsidRPr="00E36734" w:rsidRDefault="00FD445D" w:rsidP="00FD445D">
            <w:pPr>
              <w:spacing w:after="0" w:line="240" w:lineRule="auto"/>
              <w:jc w:val="center"/>
              <w:textAlignment w:val="center"/>
              <w:rPr>
                <w:rFonts w:eastAsia="Microsoft JhengHei UI" w:cstheme="minorHAnsi"/>
                <w:b/>
                <w:bCs/>
                <w:color w:val="000000"/>
                <w:kern w:val="24"/>
                <w:sz w:val="18"/>
                <w:szCs w:val="18"/>
              </w:rPr>
            </w:pPr>
            <w:r w:rsidRPr="00E36734">
              <w:rPr>
                <w:rFonts w:eastAsia="Microsoft JhengHei UI" w:cstheme="minorHAnsi"/>
                <w:b/>
                <w:bCs/>
                <w:color w:val="000000"/>
                <w:kern w:val="24"/>
                <w:sz w:val="18"/>
                <w:szCs w:val="18"/>
              </w:rPr>
              <w:t>69.1</w:t>
            </w:r>
          </w:p>
        </w:tc>
      </w:tr>
      <w:tr w:rsidR="00FD445D" w:rsidRPr="00E36734" w14:paraId="414A3A7C" w14:textId="128D51E6" w:rsidTr="00FD445D">
        <w:trPr>
          <w:trHeight w:val="528"/>
        </w:trPr>
        <w:tc>
          <w:tcPr>
            <w:tcW w:w="789" w:type="pct"/>
            <w:shd w:val="clear" w:color="auto" w:fill="FFFFFF"/>
            <w:tcMar>
              <w:top w:w="12" w:type="dxa"/>
              <w:left w:w="12" w:type="dxa"/>
              <w:bottom w:w="0" w:type="dxa"/>
              <w:right w:w="12" w:type="dxa"/>
            </w:tcMar>
            <w:vAlign w:val="center"/>
            <w:hideMark/>
          </w:tcPr>
          <w:p w14:paraId="72F1ED14" w14:textId="645DE6DD" w:rsidR="00FD445D" w:rsidRPr="00E36734" w:rsidRDefault="00FD445D" w:rsidP="00FD445D">
            <w:pPr>
              <w:spacing w:after="0" w:line="240" w:lineRule="auto"/>
              <w:textAlignment w:val="bottom"/>
              <w:rPr>
                <w:rFonts w:eastAsia="Times New Roman" w:cstheme="minorHAnsi"/>
                <w:sz w:val="18"/>
                <w:szCs w:val="18"/>
                <w:lang w:val="en-US"/>
              </w:rPr>
            </w:pPr>
            <w:r w:rsidRPr="00E36734">
              <w:rPr>
                <w:rFonts w:eastAsia="Microsoft JhengHei UI" w:cstheme="minorHAnsi"/>
                <w:color w:val="000000"/>
                <w:kern w:val="24"/>
                <w:sz w:val="18"/>
                <w:szCs w:val="18"/>
              </w:rPr>
              <w:t xml:space="preserve">Μηδενικό </w:t>
            </w:r>
          </w:p>
        </w:tc>
        <w:tc>
          <w:tcPr>
            <w:tcW w:w="1074" w:type="pct"/>
            <w:shd w:val="clear" w:color="auto" w:fill="FFFFFF"/>
            <w:tcMar>
              <w:top w:w="12" w:type="dxa"/>
              <w:left w:w="12" w:type="dxa"/>
              <w:bottom w:w="0" w:type="dxa"/>
              <w:right w:w="12" w:type="dxa"/>
            </w:tcMar>
            <w:vAlign w:val="center"/>
            <w:hideMark/>
          </w:tcPr>
          <w:p w14:paraId="462118B1" w14:textId="77777777" w:rsidR="00FD445D" w:rsidRPr="00E36734" w:rsidRDefault="00FD445D" w:rsidP="00FD445D">
            <w:pPr>
              <w:spacing w:after="0" w:line="240" w:lineRule="auto"/>
              <w:jc w:val="center"/>
              <w:textAlignment w:val="center"/>
              <w:rPr>
                <w:rFonts w:eastAsia="Times New Roman" w:cstheme="minorHAnsi"/>
                <w:sz w:val="18"/>
                <w:szCs w:val="18"/>
                <w:lang w:val="en-US"/>
              </w:rPr>
            </w:pPr>
            <w:r w:rsidRPr="00E36734">
              <w:rPr>
                <w:rFonts w:eastAsia="Microsoft JhengHei UI" w:cstheme="minorHAnsi"/>
                <w:color w:val="000000"/>
                <w:kern w:val="24"/>
                <w:sz w:val="18"/>
                <w:szCs w:val="18"/>
                <w:lang w:val="en-US"/>
              </w:rPr>
              <w:t>14.1</w:t>
            </w:r>
          </w:p>
        </w:tc>
        <w:tc>
          <w:tcPr>
            <w:tcW w:w="1011" w:type="pct"/>
            <w:shd w:val="clear" w:color="auto" w:fill="FFFFFF"/>
            <w:tcMar>
              <w:top w:w="12" w:type="dxa"/>
              <w:left w:w="12" w:type="dxa"/>
              <w:bottom w:w="0" w:type="dxa"/>
              <w:right w:w="12" w:type="dxa"/>
            </w:tcMar>
            <w:vAlign w:val="center"/>
            <w:hideMark/>
          </w:tcPr>
          <w:p w14:paraId="7EBD2506" w14:textId="77777777" w:rsidR="00FD445D" w:rsidRPr="00E36734" w:rsidRDefault="00FD445D" w:rsidP="00FD445D">
            <w:pPr>
              <w:spacing w:after="0" w:line="240" w:lineRule="auto"/>
              <w:jc w:val="center"/>
              <w:textAlignment w:val="center"/>
              <w:rPr>
                <w:rFonts w:eastAsia="Times New Roman" w:cstheme="minorHAnsi"/>
                <w:sz w:val="18"/>
                <w:szCs w:val="18"/>
                <w:lang w:val="en-US"/>
              </w:rPr>
            </w:pPr>
            <w:r w:rsidRPr="00E36734">
              <w:rPr>
                <w:rFonts w:eastAsia="Microsoft JhengHei UI" w:cstheme="minorHAnsi"/>
                <w:color w:val="000000"/>
                <w:kern w:val="24"/>
                <w:sz w:val="18"/>
                <w:szCs w:val="18"/>
                <w:lang w:val="en-US"/>
              </w:rPr>
              <w:t>16.6</w:t>
            </w:r>
          </w:p>
        </w:tc>
        <w:tc>
          <w:tcPr>
            <w:tcW w:w="1063" w:type="pct"/>
            <w:shd w:val="clear" w:color="auto" w:fill="FFFFFF"/>
            <w:tcMar>
              <w:top w:w="12" w:type="dxa"/>
              <w:left w:w="12" w:type="dxa"/>
              <w:bottom w:w="0" w:type="dxa"/>
              <w:right w:w="12" w:type="dxa"/>
            </w:tcMar>
            <w:vAlign w:val="center"/>
            <w:hideMark/>
          </w:tcPr>
          <w:p w14:paraId="39425882" w14:textId="77777777" w:rsidR="00FD445D" w:rsidRPr="00E36734" w:rsidRDefault="00FD445D" w:rsidP="00FD445D">
            <w:pPr>
              <w:spacing w:after="0" w:line="240" w:lineRule="auto"/>
              <w:jc w:val="center"/>
              <w:textAlignment w:val="center"/>
              <w:rPr>
                <w:rFonts w:eastAsia="Times New Roman" w:cstheme="minorHAnsi"/>
                <w:sz w:val="18"/>
                <w:szCs w:val="18"/>
                <w:lang w:val="en-US"/>
              </w:rPr>
            </w:pPr>
            <w:r w:rsidRPr="00E36734">
              <w:rPr>
                <w:rFonts w:eastAsia="Microsoft JhengHei UI" w:cstheme="minorHAnsi"/>
                <w:color w:val="000000"/>
                <w:kern w:val="24"/>
                <w:sz w:val="18"/>
                <w:szCs w:val="18"/>
                <w:lang w:val="en-US"/>
              </w:rPr>
              <w:t>16.9</w:t>
            </w:r>
          </w:p>
        </w:tc>
        <w:tc>
          <w:tcPr>
            <w:tcW w:w="1063" w:type="pct"/>
            <w:shd w:val="clear" w:color="auto" w:fill="FFFFFF"/>
            <w:vAlign w:val="center"/>
          </w:tcPr>
          <w:p w14:paraId="528B9BA0" w14:textId="63CB3851" w:rsidR="00FD445D" w:rsidRPr="00E36734" w:rsidRDefault="00FD445D" w:rsidP="00FD445D">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lang w:val="en-US"/>
              </w:rPr>
              <w:t>16.</w:t>
            </w:r>
            <w:r w:rsidRPr="00E36734">
              <w:rPr>
                <w:rFonts w:eastAsia="Microsoft JhengHei UI" w:cstheme="minorHAnsi"/>
                <w:color w:val="000000"/>
                <w:kern w:val="24"/>
                <w:sz w:val="18"/>
                <w:szCs w:val="18"/>
              </w:rPr>
              <w:t>2</w:t>
            </w:r>
          </w:p>
        </w:tc>
      </w:tr>
      <w:tr w:rsidR="00FD445D" w:rsidRPr="00E36734" w14:paraId="6F3AF8F1" w14:textId="50DE365F" w:rsidTr="00FD445D">
        <w:trPr>
          <w:trHeight w:val="528"/>
        </w:trPr>
        <w:tc>
          <w:tcPr>
            <w:tcW w:w="789" w:type="pct"/>
            <w:shd w:val="clear" w:color="auto" w:fill="FFFFFF"/>
            <w:tcMar>
              <w:top w:w="12" w:type="dxa"/>
              <w:left w:w="12" w:type="dxa"/>
              <w:bottom w:w="0" w:type="dxa"/>
              <w:right w:w="12" w:type="dxa"/>
            </w:tcMar>
            <w:vAlign w:val="center"/>
            <w:hideMark/>
          </w:tcPr>
          <w:p w14:paraId="57B276EB" w14:textId="77777777" w:rsidR="00FD445D" w:rsidRPr="00E36734" w:rsidRDefault="00FD445D" w:rsidP="00FD445D">
            <w:pPr>
              <w:spacing w:after="0" w:line="240" w:lineRule="auto"/>
              <w:textAlignment w:val="bottom"/>
              <w:rPr>
                <w:rFonts w:eastAsia="Times New Roman" w:cstheme="minorHAnsi"/>
                <w:sz w:val="18"/>
                <w:szCs w:val="18"/>
                <w:lang w:val="en-US"/>
              </w:rPr>
            </w:pPr>
            <w:r w:rsidRPr="00E36734">
              <w:rPr>
                <w:rFonts w:eastAsia="Microsoft JhengHei UI" w:cstheme="minorHAnsi"/>
                <w:color w:val="000000"/>
                <w:kern w:val="24"/>
                <w:sz w:val="18"/>
                <w:szCs w:val="18"/>
              </w:rPr>
              <w:t>Με κέρδη</w:t>
            </w:r>
          </w:p>
        </w:tc>
        <w:tc>
          <w:tcPr>
            <w:tcW w:w="1074" w:type="pct"/>
            <w:shd w:val="clear" w:color="auto" w:fill="FFFFFF"/>
            <w:tcMar>
              <w:top w:w="12" w:type="dxa"/>
              <w:left w:w="12" w:type="dxa"/>
              <w:bottom w:w="0" w:type="dxa"/>
              <w:right w:w="12" w:type="dxa"/>
            </w:tcMar>
            <w:vAlign w:val="center"/>
            <w:hideMark/>
          </w:tcPr>
          <w:p w14:paraId="74890756" w14:textId="77777777" w:rsidR="00FD445D" w:rsidRPr="00E36734" w:rsidRDefault="00FD445D" w:rsidP="00FD445D">
            <w:pPr>
              <w:spacing w:after="0" w:line="240" w:lineRule="auto"/>
              <w:jc w:val="center"/>
              <w:textAlignment w:val="center"/>
              <w:rPr>
                <w:rFonts w:eastAsia="Times New Roman" w:cstheme="minorHAnsi"/>
                <w:sz w:val="18"/>
                <w:szCs w:val="18"/>
                <w:lang w:val="en-US"/>
              </w:rPr>
            </w:pPr>
            <w:r w:rsidRPr="00E36734">
              <w:rPr>
                <w:rFonts w:eastAsia="Microsoft JhengHei UI" w:cstheme="minorHAnsi"/>
                <w:color w:val="000000"/>
                <w:kern w:val="24"/>
                <w:sz w:val="18"/>
                <w:szCs w:val="18"/>
                <w:lang w:val="en-US"/>
              </w:rPr>
              <w:t>12.6</w:t>
            </w:r>
          </w:p>
        </w:tc>
        <w:tc>
          <w:tcPr>
            <w:tcW w:w="1011" w:type="pct"/>
            <w:shd w:val="clear" w:color="auto" w:fill="FFFFFF"/>
            <w:tcMar>
              <w:top w:w="12" w:type="dxa"/>
              <w:left w:w="12" w:type="dxa"/>
              <w:bottom w:w="0" w:type="dxa"/>
              <w:right w:w="12" w:type="dxa"/>
            </w:tcMar>
            <w:vAlign w:val="center"/>
            <w:hideMark/>
          </w:tcPr>
          <w:p w14:paraId="47EB52A5" w14:textId="77777777" w:rsidR="00FD445D" w:rsidRPr="00E36734" w:rsidRDefault="00FD445D" w:rsidP="00FD445D">
            <w:pPr>
              <w:spacing w:after="0" w:line="240" w:lineRule="auto"/>
              <w:jc w:val="center"/>
              <w:textAlignment w:val="center"/>
              <w:rPr>
                <w:rFonts w:eastAsia="Times New Roman" w:cstheme="minorHAnsi"/>
                <w:sz w:val="18"/>
                <w:szCs w:val="18"/>
                <w:lang w:val="en-US"/>
              </w:rPr>
            </w:pPr>
            <w:r w:rsidRPr="00E36734">
              <w:rPr>
                <w:rFonts w:eastAsia="Microsoft JhengHei UI" w:cstheme="minorHAnsi"/>
                <w:color w:val="000000"/>
                <w:kern w:val="24"/>
                <w:sz w:val="18"/>
                <w:szCs w:val="18"/>
                <w:lang w:val="en-US"/>
              </w:rPr>
              <w:t>28</w:t>
            </w:r>
          </w:p>
        </w:tc>
        <w:tc>
          <w:tcPr>
            <w:tcW w:w="1063" w:type="pct"/>
            <w:shd w:val="clear" w:color="auto" w:fill="FFFFFF"/>
            <w:tcMar>
              <w:top w:w="12" w:type="dxa"/>
              <w:left w:w="12" w:type="dxa"/>
              <w:bottom w:w="0" w:type="dxa"/>
              <w:right w:w="12" w:type="dxa"/>
            </w:tcMar>
            <w:vAlign w:val="center"/>
            <w:hideMark/>
          </w:tcPr>
          <w:p w14:paraId="29CE6D11" w14:textId="77777777" w:rsidR="00FD445D" w:rsidRPr="00E36734" w:rsidRDefault="00FD445D" w:rsidP="00FD445D">
            <w:pPr>
              <w:spacing w:after="0" w:line="240" w:lineRule="auto"/>
              <w:jc w:val="center"/>
              <w:textAlignment w:val="center"/>
              <w:rPr>
                <w:rFonts w:eastAsia="Times New Roman" w:cstheme="minorHAnsi"/>
                <w:sz w:val="18"/>
                <w:szCs w:val="18"/>
                <w:lang w:val="en-US"/>
              </w:rPr>
            </w:pPr>
            <w:r w:rsidRPr="00E36734">
              <w:rPr>
                <w:rFonts w:eastAsia="Microsoft JhengHei UI" w:cstheme="minorHAnsi"/>
                <w:b/>
                <w:bCs/>
                <w:color w:val="000000"/>
                <w:kern w:val="24"/>
                <w:sz w:val="18"/>
                <w:szCs w:val="18"/>
                <w:lang w:val="en-US"/>
              </w:rPr>
              <w:t>41.5</w:t>
            </w:r>
          </w:p>
        </w:tc>
        <w:tc>
          <w:tcPr>
            <w:tcW w:w="1063" w:type="pct"/>
            <w:shd w:val="clear" w:color="auto" w:fill="FFFFFF"/>
            <w:vAlign w:val="center"/>
          </w:tcPr>
          <w:p w14:paraId="77D8ADE7" w14:textId="5AF8152C" w:rsidR="00FD445D" w:rsidRPr="00E36734" w:rsidRDefault="00FD445D" w:rsidP="00FD445D">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8.8</w:t>
            </w:r>
          </w:p>
        </w:tc>
      </w:tr>
      <w:tr w:rsidR="00FD445D" w:rsidRPr="00E36734" w14:paraId="1DEA2091" w14:textId="4E947D7D" w:rsidTr="00FD445D">
        <w:trPr>
          <w:trHeight w:val="528"/>
        </w:trPr>
        <w:tc>
          <w:tcPr>
            <w:tcW w:w="789" w:type="pct"/>
            <w:shd w:val="clear" w:color="auto" w:fill="FFFFFF"/>
            <w:tcMar>
              <w:top w:w="12" w:type="dxa"/>
              <w:left w:w="12" w:type="dxa"/>
              <w:bottom w:w="0" w:type="dxa"/>
              <w:right w:w="12" w:type="dxa"/>
            </w:tcMar>
            <w:vAlign w:val="center"/>
            <w:hideMark/>
          </w:tcPr>
          <w:p w14:paraId="446D389A" w14:textId="77777777" w:rsidR="00FD445D" w:rsidRPr="00E36734" w:rsidRDefault="00FD445D" w:rsidP="00FD445D">
            <w:pPr>
              <w:spacing w:after="0" w:line="240" w:lineRule="auto"/>
              <w:textAlignment w:val="bottom"/>
              <w:rPr>
                <w:rFonts w:eastAsia="Times New Roman" w:cstheme="minorHAnsi"/>
                <w:sz w:val="18"/>
                <w:szCs w:val="18"/>
                <w:lang w:val="en-US"/>
              </w:rPr>
            </w:pPr>
            <w:r w:rsidRPr="00E36734">
              <w:rPr>
                <w:rFonts w:eastAsia="Microsoft JhengHei UI" w:cstheme="minorHAnsi"/>
                <w:color w:val="000000"/>
                <w:kern w:val="24"/>
                <w:sz w:val="18"/>
                <w:szCs w:val="18"/>
              </w:rPr>
              <w:t>Δ.Γ/Δ.Α</w:t>
            </w:r>
          </w:p>
        </w:tc>
        <w:tc>
          <w:tcPr>
            <w:tcW w:w="1074" w:type="pct"/>
            <w:shd w:val="clear" w:color="auto" w:fill="FFFFFF"/>
            <w:tcMar>
              <w:top w:w="12" w:type="dxa"/>
              <w:left w:w="12" w:type="dxa"/>
              <w:bottom w:w="0" w:type="dxa"/>
              <w:right w:w="12" w:type="dxa"/>
            </w:tcMar>
            <w:vAlign w:val="center"/>
            <w:hideMark/>
          </w:tcPr>
          <w:p w14:paraId="2D2139F2" w14:textId="77777777" w:rsidR="00FD445D" w:rsidRPr="00E36734" w:rsidRDefault="00FD445D" w:rsidP="00FD445D">
            <w:pPr>
              <w:spacing w:after="0" w:line="240" w:lineRule="auto"/>
              <w:jc w:val="center"/>
              <w:textAlignment w:val="center"/>
              <w:rPr>
                <w:rFonts w:eastAsia="Times New Roman" w:cstheme="minorHAnsi"/>
                <w:sz w:val="18"/>
                <w:szCs w:val="18"/>
                <w:lang w:val="en-US"/>
              </w:rPr>
            </w:pPr>
            <w:r w:rsidRPr="00E36734">
              <w:rPr>
                <w:rFonts w:eastAsia="Microsoft JhengHei UI" w:cstheme="minorHAnsi"/>
                <w:color w:val="000000"/>
                <w:kern w:val="24"/>
                <w:sz w:val="18"/>
                <w:szCs w:val="18"/>
                <w:lang w:val="en-US"/>
              </w:rPr>
              <w:t>6.8</w:t>
            </w:r>
          </w:p>
        </w:tc>
        <w:tc>
          <w:tcPr>
            <w:tcW w:w="1011" w:type="pct"/>
            <w:shd w:val="clear" w:color="auto" w:fill="FFFFFF"/>
            <w:tcMar>
              <w:top w:w="12" w:type="dxa"/>
              <w:left w:w="12" w:type="dxa"/>
              <w:bottom w:w="0" w:type="dxa"/>
              <w:right w:w="12" w:type="dxa"/>
            </w:tcMar>
            <w:vAlign w:val="center"/>
            <w:hideMark/>
          </w:tcPr>
          <w:p w14:paraId="6EB8D61F" w14:textId="77777777" w:rsidR="00FD445D" w:rsidRPr="00E36734" w:rsidRDefault="00FD445D" w:rsidP="00FD445D">
            <w:pPr>
              <w:spacing w:after="0" w:line="240" w:lineRule="auto"/>
              <w:jc w:val="center"/>
              <w:textAlignment w:val="center"/>
              <w:rPr>
                <w:rFonts w:eastAsia="Times New Roman" w:cstheme="minorHAnsi"/>
                <w:sz w:val="18"/>
                <w:szCs w:val="18"/>
                <w:lang w:val="en-US"/>
              </w:rPr>
            </w:pPr>
            <w:r w:rsidRPr="00E36734">
              <w:rPr>
                <w:rFonts w:eastAsia="Microsoft JhengHei UI" w:cstheme="minorHAnsi"/>
                <w:color w:val="000000"/>
                <w:kern w:val="24"/>
                <w:sz w:val="18"/>
                <w:szCs w:val="18"/>
                <w:lang w:val="en-US"/>
              </w:rPr>
              <w:t>9</w:t>
            </w:r>
          </w:p>
        </w:tc>
        <w:tc>
          <w:tcPr>
            <w:tcW w:w="1063" w:type="pct"/>
            <w:shd w:val="clear" w:color="auto" w:fill="FFFFFF"/>
            <w:tcMar>
              <w:top w:w="12" w:type="dxa"/>
              <w:left w:w="12" w:type="dxa"/>
              <w:bottom w:w="0" w:type="dxa"/>
              <w:right w:w="12" w:type="dxa"/>
            </w:tcMar>
            <w:vAlign w:val="center"/>
            <w:hideMark/>
          </w:tcPr>
          <w:p w14:paraId="43FB61F7" w14:textId="77777777" w:rsidR="00FD445D" w:rsidRPr="00E36734" w:rsidRDefault="00FD445D" w:rsidP="00FD445D">
            <w:pPr>
              <w:spacing w:after="0" w:line="240" w:lineRule="auto"/>
              <w:jc w:val="center"/>
              <w:textAlignment w:val="center"/>
              <w:rPr>
                <w:rFonts w:eastAsia="Times New Roman" w:cstheme="minorHAnsi"/>
                <w:sz w:val="18"/>
                <w:szCs w:val="18"/>
                <w:lang w:val="en-US"/>
              </w:rPr>
            </w:pPr>
            <w:r w:rsidRPr="00E36734">
              <w:rPr>
                <w:rFonts w:eastAsia="Microsoft JhengHei UI" w:cstheme="minorHAnsi"/>
                <w:color w:val="000000"/>
                <w:kern w:val="24"/>
                <w:sz w:val="18"/>
                <w:szCs w:val="18"/>
                <w:lang w:val="en-US"/>
              </w:rPr>
              <w:t>9.8</w:t>
            </w:r>
          </w:p>
        </w:tc>
        <w:tc>
          <w:tcPr>
            <w:tcW w:w="1063" w:type="pct"/>
            <w:shd w:val="clear" w:color="auto" w:fill="FFFFFF"/>
            <w:vAlign w:val="center"/>
          </w:tcPr>
          <w:p w14:paraId="319F06F1" w14:textId="7ED39934" w:rsidR="00FD445D" w:rsidRPr="00E36734" w:rsidRDefault="00FD445D" w:rsidP="00FD445D">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5.9</w:t>
            </w:r>
          </w:p>
        </w:tc>
      </w:tr>
    </w:tbl>
    <w:p w14:paraId="4066C887" w14:textId="77777777" w:rsidR="00BC259B" w:rsidRPr="00E36734" w:rsidRDefault="00BC259B" w:rsidP="00A417BC">
      <w:pPr>
        <w:spacing w:after="0" w:line="360" w:lineRule="auto"/>
        <w:jc w:val="both"/>
        <w:rPr>
          <w:rFonts w:ascii="Times New Roman" w:hAnsi="Times New Roman" w:cs="Times New Roman"/>
          <w:sz w:val="24"/>
          <w:szCs w:val="24"/>
        </w:rPr>
      </w:pPr>
    </w:p>
    <w:p w14:paraId="0A0755F5" w14:textId="77777777" w:rsidR="00BC259B" w:rsidRPr="00E36734" w:rsidRDefault="00BC259B" w:rsidP="00A417BC">
      <w:pPr>
        <w:spacing w:after="0" w:line="360" w:lineRule="auto"/>
        <w:jc w:val="both"/>
        <w:rPr>
          <w:rFonts w:ascii="Times New Roman" w:hAnsi="Times New Roman" w:cs="Times New Roman"/>
          <w:sz w:val="24"/>
          <w:szCs w:val="24"/>
        </w:rPr>
      </w:pPr>
    </w:p>
    <w:p w14:paraId="19C6AFFC" w14:textId="53F9E74B" w:rsidR="00A9257F" w:rsidRPr="00E36734" w:rsidRDefault="00A9257F" w:rsidP="00761263">
      <w:pPr>
        <w:spacing w:after="0" w:line="360" w:lineRule="auto"/>
        <w:jc w:val="both"/>
        <w:rPr>
          <w:rFonts w:ascii="Times New Roman" w:hAnsi="Times New Roman" w:cs="Times New Roman"/>
          <w:b/>
          <w:sz w:val="24"/>
          <w:szCs w:val="24"/>
          <w:u w:val="single"/>
        </w:rPr>
      </w:pPr>
      <w:r w:rsidRPr="00E36734">
        <w:rPr>
          <w:rFonts w:ascii="Times New Roman" w:hAnsi="Times New Roman" w:cs="Times New Roman"/>
          <w:b/>
          <w:sz w:val="24"/>
          <w:szCs w:val="24"/>
          <w:u w:val="single"/>
        </w:rPr>
        <w:t>Ζήτηση</w:t>
      </w:r>
      <w:r w:rsidR="004F497A" w:rsidRPr="00E36734">
        <w:rPr>
          <w:rFonts w:ascii="Times New Roman" w:hAnsi="Times New Roman" w:cs="Times New Roman"/>
          <w:b/>
          <w:sz w:val="24"/>
          <w:szCs w:val="24"/>
          <w:u w:val="single"/>
        </w:rPr>
        <w:t xml:space="preserve"> – Παραγγελίες – Τιμές </w:t>
      </w:r>
    </w:p>
    <w:p w14:paraId="5A5E3FD8" w14:textId="6691CAD5" w:rsidR="00FD445D" w:rsidRPr="00E36734" w:rsidRDefault="00A9257F" w:rsidP="00761263">
      <w:pPr>
        <w:spacing w:after="0" w:line="360" w:lineRule="auto"/>
        <w:jc w:val="both"/>
        <w:rPr>
          <w:rFonts w:ascii="Times New Roman" w:hAnsi="Times New Roman" w:cs="Times New Roman"/>
          <w:sz w:val="24"/>
          <w:szCs w:val="24"/>
        </w:rPr>
      </w:pPr>
      <w:bookmarkStart w:id="12" w:name="_Hlk68246188"/>
      <w:r w:rsidRPr="00E36734">
        <w:rPr>
          <w:rFonts w:ascii="Times New Roman" w:hAnsi="Times New Roman" w:cs="Times New Roman"/>
          <w:sz w:val="24"/>
          <w:szCs w:val="24"/>
        </w:rPr>
        <w:t xml:space="preserve">Όσον αφορά τη ζήτηση το </w:t>
      </w:r>
      <w:r w:rsidR="00FD445D" w:rsidRPr="00E36734">
        <w:rPr>
          <w:rFonts w:ascii="Times New Roman" w:hAnsi="Times New Roman" w:cs="Times New Roman"/>
          <w:sz w:val="24"/>
          <w:szCs w:val="24"/>
        </w:rPr>
        <w:t>66,8</w:t>
      </w:r>
      <w:r w:rsidRPr="00E36734">
        <w:rPr>
          <w:rFonts w:ascii="Times New Roman" w:hAnsi="Times New Roman" w:cs="Times New Roman"/>
          <w:sz w:val="24"/>
          <w:szCs w:val="24"/>
        </w:rPr>
        <w:t xml:space="preserve">% δήλωσε πως κατά το </w:t>
      </w:r>
      <w:r w:rsidR="00FD445D" w:rsidRPr="00E36734">
        <w:rPr>
          <w:rFonts w:ascii="Times New Roman" w:hAnsi="Times New Roman" w:cs="Times New Roman"/>
          <w:sz w:val="24"/>
          <w:szCs w:val="24"/>
        </w:rPr>
        <w:t xml:space="preserve">Β εξάμηνο </w:t>
      </w:r>
      <w:r w:rsidRPr="00E36734">
        <w:rPr>
          <w:rFonts w:ascii="Times New Roman" w:hAnsi="Times New Roman" w:cs="Times New Roman"/>
          <w:sz w:val="24"/>
          <w:szCs w:val="24"/>
        </w:rPr>
        <w:t>μειώθηκε</w:t>
      </w:r>
      <w:r w:rsidR="0024078D" w:rsidRPr="00E36734">
        <w:rPr>
          <w:rFonts w:ascii="Times New Roman" w:hAnsi="Times New Roman" w:cs="Times New Roman"/>
          <w:sz w:val="24"/>
          <w:szCs w:val="24"/>
        </w:rPr>
        <w:t>,</w:t>
      </w:r>
      <w:r w:rsidRPr="00E36734">
        <w:rPr>
          <w:rFonts w:ascii="Times New Roman" w:hAnsi="Times New Roman" w:cs="Times New Roman"/>
          <w:sz w:val="24"/>
          <w:szCs w:val="24"/>
        </w:rPr>
        <w:t xml:space="preserve"> έναντι του </w:t>
      </w:r>
      <w:r w:rsidR="00FD445D" w:rsidRPr="00E36734">
        <w:rPr>
          <w:rFonts w:ascii="Times New Roman" w:hAnsi="Times New Roman" w:cs="Times New Roman"/>
          <w:sz w:val="24"/>
          <w:szCs w:val="24"/>
        </w:rPr>
        <w:t>13,7</w:t>
      </w:r>
      <w:r w:rsidRPr="00E36734">
        <w:rPr>
          <w:rFonts w:ascii="Times New Roman" w:hAnsi="Times New Roman" w:cs="Times New Roman"/>
          <w:sz w:val="24"/>
          <w:szCs w:val="24"/>
        </w:rPr>
        <w:t xml:space="preserve">% που δήλωσε πως αυξήθηκε και του </w:t>
      </w:r>
      <w:r w:rsidR="00FD445D" w:rsidRPr="00E36734">
        <w:rPr>
          <w:rFonts w:ascii="Times New Roman" w:hAnsi="Times New Roman" w:cs="Times New Roman"/>
          <w:sz w:val="24"/>
          <w:szCs w:val="24"/>
        </w:rPr>
        <w:t>19,1</w:t>
      </w:r>
      <w:r w:rsidRPr="00E36734">
        <w:rPr>
          <w:rFonts w:ascii="Times New Roman" w:hAnsi="Times New Roman" w:cs="Times New Roman"/>
          <w:sz w:val="24"/>
          <w:szCs w:val="24"/>
        </w:rPr>
        <w:t>% που δήλωσε πως</w:t>
      </w:r>
      <w:r w:rsidR="00906C6F" w:rsidRPr="00E36734">
        <w:rPr>
          <w:rFonts w:ascii="Times New Roman" w:hAnsi="Times New Roman" w:cs="Times New Roman"/>
          <w:sz w:val="24"/>
          <w:szCs w:val="24"/>
        </w:rPr>
        <w:t xml:space="preserve"> παρέμεινε αμετάβλητη</w:t>
      </w:r>
      <w:r w:rsidR="00FD445D" w:rsidRPr="00E36734">
        <w:rPr>
          <w:rFonts w:ascii="Times New Roman" w:hAnsi="Times New Roman" w:cs="Times New Roman"/>
          <w:sz w:val="24"/>
          <w:szCs w:val="24"/>
        </w:rPr>
        <w:t xml:space="preserve">. </w:t>
      </w:r>
    </w:p>
    <w:p w14:paraId="765A096C" w14:textId="6E12C82D" w:rsidR="00A9257F" w:rsidRPr="00E36734" w:rsidRDefault="00FD445D" w:rsidP="00761263">
      <w:p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Για τις παραγγελίες το 71,5% δήλωσε πως το Β εξάμηνο του 2020 μειώθηκαν</w:t>
      </w:r>
      <w:r w:rsidR="0024078D" w:rsidRPr="00E36734">
        <w:rPr>
          <w:rFonts w:ascii="Times New Roman" w:hAnsi="Times New Roman" w:cs="Times New Roman"/>
          <w:sz w:val="24"/>
          <w:szCs w:val="24"/>
        </w:rPr>
        <w:t>,</w:t>
      </w:r>
      <w:r w:rsidRPr="00E36734">
        <w:rPr>
          <w:rFonts w:ascii="Times New Roman" w:hAnsi="Times New Roman" w:cs="Times New Roman"/>
          <w:sz w:val="24"/>
          <w:szCs w:val="24"/>
        </w:rPr>
        <w:t xml:space="preserve"> έναντι του</w:t>
      </w:r>
      <w:r w:rsidR="00525F15" w:rsidRPr="00E36734">
        <w:rPr>
          <w:rFonts w:ascii="Times New Roman" w:hAnsi="Times New Roman" w:cs="Times New Roman"/>
          <w:sz w:val="24"/>
          <w:szCs w:val="24"/>
        </w:rPr>
        <w:t xml:space="preserve"> </w:t>
      </w:r>
      <w:r w:rsidRPr="00E36734">
        <w:rPr>
          <w:rFonts w:ascii="Times New Roman" w:hAnsi="Times New Roman" w:cs="Times New Roman"/>
          <w:sz w:val="24"/>
          <w:szCs w:val="24"/>
        </w:rPr>
        <w:t xml:space="preserve">9,2% που δήλωσε πως αυξήθηκαν και του17,7% που </w:t>
      </w:r>
      <w:r w:rsidR="0024078D" w:rsidRPr="00E36734">
        <w:rPr>
          <w:rFonts w:ascii="Times New Roman" w:hAnsi="Times New Roman" w:cs="Times New Roman"/>
          <w:sz w:val="24"/>
          <w:szCs w:val="24"/>
        </w:rPr>
        <w:t>δήλωσε πως οι</w:t>
      </w:r>
      <w:r w:rsidRPr="00E36734">
        <w:rPr>
          <w:rFonts w:ascii="Times New Roman" w:hAnsi="Times New Roman" w:cs="Times New Roman"/>
          <w:sz w:val="24"/>
          <w:szCs w:val="24"/>
        </w:rPr>
        <w:t xml:space="preserve"> παραγγελίες </w:t>
      </w:r>
      <w:r w:rsidR="0024078D" w:rsidRPr="00E36734">
        <w:rPr>
          <w:rFonts w:ascii="Times New Roman" w:hAnsi="Times New Roman" w:cs="Times New Roman"/>
          <w:sz w:val="24"/>
          <w:szCs w:val="24"/>
        </w:rPr>
        <w:t>παρέμειναν</w:t>
      </w:r>
      <w:r w:rsidRPr="00E36734">
        <w:rPr>
          <w:rFonts w:ascii="Times New Roman" w:hAnsi="Times New Roman" w:cs="Times New Roman"/>
          <w:sz w:val="24"/>
          <w:szCs w:val="24"/>
        </w:rPr>
        <w:t xml:space="preserve"> σταθερές. </w:t>
      </w:r>
      <w:r w:rsidR="00906C6F" w:rsidRPr="00E36734">
        <w:rPr>
          <w:rFonts w:ascii="Times New Roman" w:hAnsi="Times New Roman" w:cs="Times New Roman"/>
          <w:sz w:val="24"/>
          <w:szCs w:val="24"/>
        </w:rPr>
        <w:t xml:space="preserve"> </w:t>
      </w:r>
    </w:p>
    <w:p w14:paraId="2E7985CC" w14:textId="56454ADB" w:rsidR="00525F15" w:rsidRPr="00E36734" w:rsidRDefault="00525F15" w:rsidP="00761263">
      <w:p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 xml:space="preserve">Όσον αφορά τις </w:t>
      </w:r>
      <w:r w:rsidR="003726B2" w:rsidRPr="00E36734">
        <w:rPr>
          <w:rFonts w:ascii="Times New Roman" w:hAnsi="Times New Roman" w:cs="Times New Roman"/>
          <w:sz w:val="24"/>
          <w:szCs w:val="24"/>
        </w:rPr>
        <w:t>τιμές</w:t>
      </w:r>
      <w:r w:rsidRPr="00E36734">
        <w:rPr>
          <w:rFonts w:ascii="Times New Roman" w:hAnsi="Times New Roman" w:cs="Times New Roman"/>
          <w:sz w:val="24"/>
          <w:szCs w:val="24"/>
        </w:rPr>
        <w:t xml:space="preserve"> των αγαθών/υπηρεσιών παρουσιάζουν πτωτική πορεία καθώς το 31,3% των επιχειρήσεων δήλωσε ότι μειώθηκαν</w:t>
      </w:r>
      <w:r w:rsidR="0024078D" w:rsidRPr="00E36734">
        <w:rPr>
          <w:rFonts w:ascii="Times New Roman" w:hAnsi="Times New Roman" w:cs="Times New Roman"/>
          <w:sz w:val="24"/>
          <w:szCs w:val="24"/>
        </w:rPr>
        <w:t>,</w:t>
      </w:r>
      <w:r w:rsidRPr="00E36734">
        <w:rPr>
          <w:rFonts w:ascii="Times New Roman" w:hAnsi="Times New Roman" w:cs="Times New Roman"/>
          <w:sz w:val="24"/>
          <w:szCs w:val="24"/>
        </w:rPr>
        <w:t xml:space="preserve"> έναντι μόλις του 6,6% που δήλωσε ότι αυξήθηκαν</w:t>
      </w:r>
      <w:r w:rsidR="0024078D" w:rsidRPr="00E36734">
        <w:rPr>
          <w:rFonts w:ascii="Times New Roman" w:hAnsi="Times New Roman" w:cs="Times New Roman"/>
          <w:sz w:val="24"/>
          <w:szCs w:val="24"/>
        </w:rPr>
        <w:t xml:space="preserve"> και</w:t>
      </w:r>
      <w:r w:rsidR="003726B2" w:rsidRPr="00E36734">
        <w:rPr>
          <w:rFonts w:ascii="Times New Roman" w:hAnsi="Times New Roman" w:cs="Times New Roman"/>
          <w:sz w:val="24"/>
          <w:szCs w:val="24"/>
        </w:rPr>
        <w:t xml:space="preserve"> </w:t>
      </w:r>
      <w:r w:rsidRPr="00E36734">
        <w:rPr>
          <w:rFonts w:ascii="Times New Roman" w:hAnsi="Times New Roman" w:cs="Times New Roman"/>
          <w:sz w:val="24"/>
          <w:szCs w:val="24"/>
        </w:rPr>
        <w:t>το</w:t>
      </w:r>
      <w:r w:rsidR="0024078D" w:rsidRPr="00E36734">
        <w:rPr>
          <w:rFonts w:ascii="Times New Roman" w:hAnsi="Times New Roman" w:cs="Times New Roman"/>
          <w:sz w:val="24"/>
          <w:szCs w:val="24"/>
        </w:rPr>
        <w:t>υ</w:t>
      </w:r>
      <w:r w:rsidRPr="00E36734">
        <w:rPr>
          <w:rFonts w:ascii="Times New Roman" w:hAnsi="Times New Roman" w:cs="Times New Roman"/>
          <w:sz w:val="24"/>
          <w:szCs w:val="24"/>
        </w:rPr>
        <w:t xml:space="preserve"> 61,7% </w:t>
      </w:r>
      <w:r w:rsidR="0024078D" w:rsidRPr="00E36734">
        <w:rPr>
          <w:rFonts w:ascii="Times New Roman" w:hAnsi="Times New Roman" w:cs="Times New Roman"/>
          <w:sz w:val="24"/>
          <w:szCs w:val="24"/>
        </w:rPr>
        <w:t xml:space="preserve">που </w:t>
      </w:r>
      <w:r w:rsidRPr="00E36734">
        <w:rPr>
          <w:rFonts w:ascii="Times New Roman" w:hAnsi="Times New Roman" w:cs="Times New Roman"/>
          <w:sz w:val="24"/>
          <w:szCs w:val="24"/>
        </w:rPr>
        <w:t xml:space="preserve">τις διατήρησε σταθερές. </w:t>
      </w:r>
    </w:p>
    <w:p w14:paraId="410D3852" w14:textId="039BB76A" w:rsidR="00A9257F" w:rsidRPr="00E36734" w:rsidRDefault="00A9257F" w:rsidP="00761263">
      <w:p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t xml:space="preserve">Τα στοιχεία αυτά σε συνδυασμό με την μειωμένη ζήτηση αντανακλώνται </w:t>
      </w:r>
      <w:r w:rsidR="003726B2" w:rsidRPr="00E36734">
        <w:rPr>
          <w:rFonts w:ascii="Times New Roman" w:hAnsi="Times New Roman" w:cs="Times New Roman"/>
          <w:sz w:val="24"/>
          <w:szCs w:val="24"/>
        </w:rPr>
        <w:t>και από τον</w:t>
      </w:r>
      <w:r w:rsidRPr="00E36734">
        <w:rPr>
          <w:rFonts w:ascii="Times New Roman" w:hAnsi="Times New Roman" w:cs="Times New Roman"/>
          <w:sz w:val="24"/>
          <w:szCs w:val="24"/>
        </w:rPr>
        <w:t xml:space="preserve"> αρνητικό πληθωρισμό </w:t>
      </w:r>
      <w:r w:rsidR="003726B2" w:rsidRPr="00E36734">
        <w:rPr>
          <w:rFonts w:ascii="Times New Roman" w:hAnsi="Times New Roman" w:cs="Times New Roman"/>
          <w:sz w:val="24"/>
          <w:szCs w:val="24"/>
        </w:rPr>
        <w:t>-</w:t>
      </w:r>
      <w:r w:rsidR="000A0DC2" w:rsidRPr="00E36734">
        <w:rPr>
          <w:rFonts w:ascii="Times New Roman" w:hAnsi="Times New Roman" w:cs="Times New Roman"/>
          <w:sz w:val="24"/>
          <w:szCs w:val="24"/>
        </w:rPr>
        <w:t>2</w:t>
      </w:r>
      <w:r w:rsidRPr="00E36734">
        <w:rPr>
          <w:rFonts w:ascii="Times New Roman" w:hAnsi="Times New Roman" w:cs="Times New Roman"/>
          <w:sz w:val="24"/>
          <w:szCs w:val="24"/>
        </w:rPr>
        <w:t>,</w:t>
      </w:r>
      <w:r w:rsidR="00525F15" w:rsidRPr="00E36734">
        <w:rPr>
          <w:rFonts w:ascii="Times New Roman" w:hAnsi="Times New Roman" w:cs="Times New Roman"/>
          <w:sz w:val="24"/>
          <w:szCs w:val="24"/>
        </w:rPr>
        <w:t>3</w:t>
      </w:r>
      <w:r w:rsidRPr="00E36734">
        <w:rPr>
          <w:rFonts w:ascii="Times New Roman" w:hAnsi="Times New Roman" w:cs="Times New Roman"/>
          <w:sz w:val="24"/>
          <w:szCs w:val="24"/>
        </w:rPr>
        <w:t>% και την αρνητική συνολική καταναλωτική δαπάνη -</w:t>
      </w:r>
      <w:r w:rsidR="00525F15" w:rsidRPr="00E36734">
        <w:rPr>
          <w:rFonts w:ascii="Times New Roman" w:hAnsi="Times New Roman" w:cs="Times New Roman"/>
          <w:sz w:val="24"/>
          <w:szCs w:val="24"/>
        </w:rPr>
        <w:t>3,4</w:t>
      </w:r>
      <w:r w:rsidRPr="00E36734">
        <w:rPr>
          <w:rFonts w:ascii="Times New Roman" w:hAnsi="Times New Roman" w:cs="Times New Roman"/>
          <w:sz w:val="24"/>
          <w:szCs w:val="24"/>
        </w:rPr>
        <w:t xml:space="preserve">% </w:t>
      </w:r>
      <w:r w:rsidR="00525F15" w:rsidRPr="00E36734">
        <w:rPr>
          <w:rFonts w:ascii="Times New Roman" w:hAnsi="Times New Roman" w:cs="Times New Roman"/>
          <w:sz w:val="24"/>
          <w:szCs w:val="24"/>
        </w:rPr>
        <w:t>που έχει ανακοινώσει η ΕΛΣΤΑΤ για το 2020</w:t>
      </w:r>
      <w:r w:rsidR="000A0DC2" w:rsidRPr="00E36734">
        <w:rPr>
          <w:rStyle w:val="ae"/>
          <w:rFonts w:ascii="Times New Roman" w:hAnsi="Times New Roman" w:cs="Times New Roman"/>
          <w:sz w:val="24"/>
          <w:szCs w:val="24"/>
        </w:rPr>
        <w:footnoteReference w:id="2"/>
      </w:r>
      <w:r w:rsidRPr="00E36734">
        <w:rPr>
          <w:rFonts w:ascii="Times New Roman" w:hAnsi="Times New Roman" w:cs="Times New Roman"/>
          <w:sz w:val="24"/>
          <w:szCs w:val="24"/>
        </w:rPr>
        <w:t xml:space="preserve">. </w:t>
      </w:r>
    </w:p>
    <w:bookmarkEnd w:id="12"/>
    <w:p w14:paraId="057BF940" w14:textId="7299B313" w:rsidR="000A0DC2" w:rsidRPr="00E36734" w:rsidRDefault="000A0DC2" w:rsidP="00761263">
      <w:pPr>
        <w:spacing w:after="0" w:line="360" w:lineRule="auto"/>
        <w:jc w:val="both"/>
        <w:rPr>
          <w:rFonts w:ascii="Times New Roman" w:hAnsi="Times New Roman" w:cs="Times New Roman"/>
          <w:sz w:val="24"/>
          <w:szCs w:val="24"/>
        </w:rPr>
      </w:pPr>
    </w:p>
    <w:p w14:paraId="0D77C55C" w14:textId="46DB0BCD" w:rsidR="00CC546C" w:rsidRPr="00E36734" w:rsidRDefault="00CC546C" w:rsidP="00761263">
      <w:pPr>
        <w:spacing w:after="0" w:line="360" w:lineRule="auto"/>
        <w:jc w:val="both"/>
        <w:rPr>
          <w:rFonts w:ascii="Times New Roman" w:hAnsi="Times New Roman" w:cs="Times New Roman"/>
          <w:sz w:val="24"/>
          <w:szCs w:val="24"/>
        </w:rPr>
      </w:pPr>
    </w:p>
    <w:p w14:paraId="5C6085D9" w14:textId="7DFBAF85" w:rsidR="00CC546C" w:rsidRPr="00E36734" w:rsidRDefault="00CC546C" w:rsidP="00761263">
      <w:pPr>
        <w:spacing w:after="0" w:line="360" w:lineRule="auto"/>
        <w:jc w:val="both"/>
        <w:rPr>
          <w:rFonts w:ascii="Times New Roman" w:hAnsi="Times New Roman" w:cs="Times New Roman"/>
          <w:sz w:val="24"/>
          <w:szCs w:val="24"/>
        </w:rPr>
      </w:pPr>
    </w:p>
    <w:p w14:paraId="3B896B6A" w14:textId="21EAA324" w:rsidR="00CC546C" w:rsidRPr="00E36734" w:rsidRDefault="00CC546C" w:rsidP="00761263">
      <w:pPr>
        <w:spacing w:after="0" w:line="360" w:lineRule="auto"/>
        <w:jc w:val="both"/>
        <w:rPr>
          <w:rFonts w:ascii="Times New Roman" w:hAnsi="Times New Roman" w:cs="Times New Roman"/>
          <w:sz w:val="24"/>
          <w:szCs w:val="24"/>
        </w:rPr>
      </w:pPr>
    </w:p>
    <w:p w14:paraId="4181698E" w14:textId="1CBB3F62" w:rsidR="00CC546C" w:rsidRPr="00E36734" w:rsidRDefault="00CC546C" w:rsidP="00761263">
      <w:pPr>
        <w:spacing w:after="0" w:line="360" w:lineRule="auto"/>
        <w:jc w:val="both"/>
        <w:rPr>
          <w:rFonts w:ascii="Times New Roman" w:hAnsi="Times New Roman" w:cs="Times New Roman"/>
          <w:sz w:val="24"/>
          <w:szCs w:val="24"/>
        </w:rPr>
      </w:pPr>
    </w:p>
    <w:p w14:paraId="567B616D" w14:textId="77777777" w:rsidR="00CC546C" w:rsidRPr="00E36734" w:rsidRDefault="00CC546C" w:rsidP="00761263">
      <w:pPr>
        <w:spacing w:after="0" w:line="360" w:lineRule="auto"/>
        <w:jc w:val="both"/>
        <w:rPr>
          <w:rFonts w:ascii="Times New Roman" w:hAnsi="Times New Roman" w:cs="Times New Roman"/>
          <w:sz w:val="24"/>
          <w:szCs w:val="24"/>
        </w:rPr>
      </w:pPr>
    </w:p>
    <w:p w14:paraId="33366FDE" w14:textId="045024E8" w:rsidR="00906C6F" w:rsidRPr="00E36734" w:rsidRDefault="00A9257F" w:rsidP="00906C6F">
      <w:pPr>
        <w:tabs>
          <w:tab w:val="left" w:pos="4530"/>
        </w:tabs>
        <w:spacing w:after="0" w:line="360" w:lineRule="auto"/>
        <w:jc w:val="center"/>
        <w:rPr>
          <w:rFonts w:ascii="Times New Roman" w:eastAsia="Times New Roman" w:hAnsi="Times New Roman" w:cs="Times New Roman"/>
          <w:b/>
          <w:bCs/>
          <w:sz w:val="24"/>
          <w:szCs w:val="24"/>
          <w:lang w:eastAsia="el-GR"/>
        </w:rPr>
      </w:pPr>
      <w:r w:rsidRPr="00E36734">
        <w:rPr>
          <w:rFonts w:ascii="Times New Roman" w:eastAsia="Times New Roman" w:hAnsi="Times New Roman" w:cs="Times New Roman"/>
          <w:b/>
          <w:bCs/>
          <w:sz w:val="24"/>
          <w:szCs w:val="24"/>
          <w:lang w:eastAsia="el-GR"/>
        </w:rPr>
        <w:lastRenderedPageBreak/>
        <w:t xml:space="preserve">Γράφημα </w:t>
      </w:r>
      <w:r w:rsidR="003726B2" w:rsidRPr="00E36734">
        <w:rPr>
          <w:rFonts w:ascii="Times New Roman" w:eastAsia="Times New Roman" w:hAnsi="Times New Roman" w:cs="Times New Roman"/>
          <w:b/>
          <w:bCs/>
          <w:sz w:val="24"/>
          <w:szCs w:val="24"/>
          <w:lang w:eastAsia="el-GR"/>
        </w:rPr>
        <w:t>9</w:t>
      </w:r>
    </w:p>
    <w:p w14:paraId="4A6E5577" w14:textId="77777777" w:rsidR="00A9257F" w:rsidRPr="00E36734" w:rsidRDefault="00A9257F" w:rsidP="00906C6F">
      <w:pPr>
        <w:tabs>
          <w:tab w:val="left" w:pos="4530"/>
          <w:tab w:val="left" w:pos="6600"/>
        </w:tabs>
        <w:spacing w:after="0" w:line="360" w:lineRule="auto"/>
        <w:jc w:val="center"/>
        <w:rPr>
          <w:rFonts w:ascii="Times New Roman" w:eastAsia="Times New Roman" w:hAnsi="Times New Roman" w:cs="Times New Roman"/>
          <w:b/>
          <w:bCs/>
          <w:sz w:val="24"/>
          <w:szCs w:val="24"/>
          <w:lang w:eastAsia="el-GR"/>
        </w:rPr>
      </w:pPr>
      <w:r w:rsidRPr="00E36734">
        <w:rPr>
          <w:rFonts w:ascii="Times New Roman" w:eastAsia="Times New Roman" w:hAnsi="Times New Roman" w:cs="Times New Roman"/>
          <w:b/>
          <w:bCs/>
          <w:sz w:val="24"/>
          <w:szCs w:val="24"/>
          <w:lang w:eastAsia="el-GR"/>
        </w:rPr>
        <w:t xml:space="preserve">Αποτίμηση τελευταίου εξαμήνου – </w:t>
      </w:r>
      <w:r w:rsidR="00906C6F" w:rsidRPr="00E36734">
        <w:rPr>
          <w:rFonts w:ascii="Times New Roman" w:eastAsia="Times New Roman" w:hAnsi="Times New Roman" w:cs="Times New Roman"/>
          <w:b/>
          <w:bCs/>
          <w:sz w:val="24"/>
          <w:szCs w:val="24"/>
          <w:lang w:eastAsia="el-GR"/>
        </w:rPr>
        <w:t>Σ</w:t>
      </w:r>
      <w:r w:rsidRPr="00E36734">
        <w:rPr>
          <w:rFonts w:ascii="Times New Roman" w:eastAsia="Times New Roman" w:hAnsi="Times New Roman" w:cs="Times New Roman"/>
          <w:b/>
          <w:bCs/>
          <w:sz w:val="24"/>
          <w:szCs w:val="24"/>
          <w:lang w:eastAsia="el-GR"/>
        </w:rPr>
        <w:t>υγκεντρωτικοί δείκτες</w:t>
      </w:r>
    </w:p>
    <w:p w14:paraId="05D18A74" w14:textId="783B24EF" w:rsidR="00A9257F" w:rsidRPr="00E36734" w:rsidRDefault="00A9257F" w:rsidP="00761263">
      <w:pPr>
        <w:tabs>
          <w:tab w:val="left" w:pos="4530"/>
        </w:tabs>
        <w:spacing w:after="0" w:line="360" w:lineRule="auto"/>
        <w:jc w:val="both"/>
        <w:rPr>
          <w:rFonts w:ascii="Times New Roman" w:eastAsia="Times New Roman" w:hAnsi="Times New Roman" w:cs="Times New Roman"/>
          <w:b/>
          <w:bCs/>
          <w:noProof/>
          <w:sz w:val="24"/>
          <w:szCs w:val="24"/>
          <w:lang w:eastAsia="el-GR"/>
        </w:rPr>
      </w:pPr>
    </w:p>
    <w:p w14:paraId="52B93DE9" w14:textId="7173CEB0" w:rsidR="00A9257F" w:rsidRPr="00E36734" w:rsidRDefault="000A0DC2" w:rsidP="00761263">
      <w:pPr>
        <w:tabs>
          <w:tab w:val="left" w:pos="4530"/>
        </w:tabs>
        <w:spacing w:after="0" w:line="360" w:lineRule="auto"/>
        <w:jc w:val="both"/>
        <w:rPr>
          <w:rFonts w:ascii="Times New Roman" w:eastAsia="Times New Roman" w:hAnsi="Times New Roman" w:cs="Times New Roman"/>
          <w:b/>
          <w:bCs/>
          <w:noProof/>
          <w:sz w:val="24"/>
          <w:szCs w:val="24"/>
          <w:lang w:eastAsia="el-GR"/>
        </w:rPr>
      </w:pPr>
      <w:r w:rsidRPr="00E36734">
        <w:rPr>
          <w:rFonts w:ascii="Times New Roman" w:eastAsia="Times New Roman" w:hAnsi="Times New Roman" w:cs="Times New Roman"/>
          <w:b/>
          <w:bCs/>
          <w:noProof/>
          <w:sz w:val="24"/>
          <w:szCs w:val="24"/>
          <w:lang w:eastAsia="el-GR"/>
        </w:rPr>
        <w:drawing>
          <wp:inline distT="0" distB="0" distL="0" distR="0" wp14:anchorId="02CD23B6" wp14:editId="5BABECB7">
            <wp:extent cx="6570980" cy="2857500"/>
            <wp:effectExtent l="0" t="0" r="1270" b="0"/>
            <wp:docPr id="21" name="Γράφημα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27DB1B5" w14:textId="034A690D" w:rsidR="00A417BC" w:rsidRPr="00E36734" w:rsidRDefault="00A417BC" w:rsidP="00761263">
      <w:pPr>
        <w:tabs>
          <w:tab w:val="left" w:pos="4530"/>
        </w:tabs>
        <w:spacing w:after="0" w:line="360" w:lineRule="auto"/>
        <w:jc w:val="both"/>
        <w:rPr>
          <w:rFonts w:ascii="Times New Roman" w:eastAsia="Times New Roman" w:hAnsi="Times New Roman" w:cs="Times New Roman"/>
          <w:b/>
          <w:bCs/>
          <w:noProof/>
          <w:sz w:val="24"/>
          <w:szCs w:val="24"/>
          <w:lang w:eastAsia="el-GR"/>
        </w:rPr>
      </w:pPr>
    </w:p>
    <w:p w14:paraId="652A126F" w14:textId="0812CB78" w:rsidR="00A9257F" w:rsidRPr="00E36734" w:rsidRDefault="00A9257F" w:rsidP="00761263">
      <w:pPr>
        <w:spacing w:after="0" w:line="360" w:lineRule="auto"/>
        <w:jc w:val="both"/>
        <w:rPr>
          <w:rFonts w:ascii="Times New Roman" w:eastAsia="Times New Roman" w:hAnsi="Times New Roman" w:cs="Times New Roman"/>
          <w:b/>
          <w:bCs/>
          <w:noProof/>
          <w:sz w:val="24"/>
          <w:szCs w:val="24"/>
          <w:u w:val="single"/>
          <w:lang w:eastAsia="el-GR"/>
        </w:rPr>
      </w:pPr>
      <w:r w:rsidRPr="00E36734">
        <w:rPr>
          <w:rFonts w:ascii="Times New Roman" w:eastAsia="Times New Roman" w:hAnsi="Times New Roman" w:cs="Times New Roman"/>
          <w:b/>
          <w:bCs/>
          <w:noProof/>
          <w:sz w:val="24"/>
          <w:szCs w:val="24"/>
          <w:u w:val="single"/>
          <w:lang w:eastAsia="el-GR"/>
        </w:rPr>
        <w:t xml:space="preserve">Ρευστότητα – </w:t>
      </w:r>
      <w:r w:rsidR="00694711" w:rsidRPr="00E36734">
        <w:rPr>
          <w:rFonts w:ascii="Times New Roman" w:eastAsia="Times New Roman" w:hAnsi="Times New Roman" w:cs="Times New Roman"/>
          <w:b/>
          <w:bCs/>
          <w:noProof/>
          <w:sz w:val="24"/>
          <w:szCs w:val="24"/>
          <w:u w:val="single"/>
          <w:lang w:eastAsia="el-GR"/>
        </w:rPr>
        <w:t xml:space="preserve">Ταμειακά διαθέσιμα </w:t>
      </w:r>
    </w:p>
    <w:p w14:paraId="324E1429" w14:textId="0A5D3896" w:rsidR="00425E4A" w:rsidRPr="00E36734" w:rsidRDefault="00A9257F" w:rsidP="00761263">
      <w:pPr>
        <w:spacing w:after="0" w:line="360" w:lineRule="auto"/>
        <w:jc w:val="both"/>
        <w:rPr>
          <w:rFonts w:ascii="Times New Roman" w:hAnsi="Times New Roman" w:cs="Times New Roman"/>
          <w:sz w:val="24"/>
          <w:szCs w:val="24"/>
        </w:rPr>
      </w:pPr>
      <w:bookmarkStart w:id="13" w:name="_Hlk68246211"/>
      <w:r w:rsidRPr="00E36734">
        <w:rPr>
          <w:rFonts w:ascii="Times New Roman" w:hAnsi="Times New Roman" w:cs="Times New Roman"/>
          <w:sz w:val="24"/>
          <w:szCs w:val="24"/>
        </w:rPr>
        <w:t xml:space="preserve">Η ρευστότητα των επιχειρήσεων το </w:t>
      </w:r>
      <w:r w:rsidR="00425E4A" w:rsidRPr="00E36734">
        <w:rPr>
          <w:rFonts w:ascii="Times New Roman" w:hAnsi="Times New Roman" w:cs="Times New Roman"/>
          <w:sz w:val="24"/>
          <w:szCs w:val="24"/>
        </w:rPr>
        <w:t>Β</w:t>
      </w:r>
      <w:r w:rsidRPr="00E36734">
        <w:rPr>
          <w:rFonts w:ascii="Times New Roman" w:hAnsi="Times New Roman" w:cs="Times New Roman"/>
          <w:sz w:val="24"/>
          <w:szCs w:val="24"/>
        </w:rPr>
        <w:t xml:space="preserve"> εξάμηνο του 2020 ακολουθεί την σοβαρή πτώση που </w:t>
      </w:r>
      <w:r w:rsidR="00425E4A" w:rsidRPr="00E36734">
        <w:rPr>
          <w:rFonts w:ascii="Times New Roman" w:hAnsi="Times New Roman" w:cs="Times New Roman"/>
          <w:sz w:val="24"/>
          <w:szCs w:val="24"/>
        </w:rPr>
        <w:t>καταγράφηκε και το Α εξάμηνο του έτους</w:t>
      </w:r>
      <w:r w:rsidRPr="00E36734">
        <w:rPr>
          <w:rFonts w:ascii="Times New Roman" w:hAnsi="Times New Roman" w:cs="Times New Roman"/>
          <w:sz w:val="24"/>
          <w:szCs w:val="24"/>
        </w:rPr>
        <w:t xml:space="preserve">. </w:t>
      </w:r>
      <w:r w:rsidR="00425E4A" w:rsidRPr="00E36734">
        <w:rPr>
          <w:rFonts w:ascii="Times New Roman" w:hAnsi="Times New Roman" w:cs="Times New Roman"/>
          <w:sz w:val="24"/>
          <w:szCs w:val="24"/>
        </w:rPr>
        <w:t xml:space="preserve">Αποτελεί μάλιστα το δείκτη με την χαμηλότερη επίδοση σε σχέση με τους υπόλοιπους. </w:t>
      </w:r>
      <w:r w:rsidRPr="00E36734">
        <w:rPr>
          <w:rFonts w:ascii="Times New Roman" w:hAnsi="Times New Roman" w:cs="Times New Roman"/>
          <w:sz w:val="24"/>
          <w:szCs w:val="24"/>
        </w:rPr>
        <w:t xml:space="preserve">Συγκεκριμένα </w:t>
      </w:r>
      <w:bookmarkStart w:id="14" w:name="_Hlk68075045"/>
      <w:r w:rsidRPr="00E36734">
        <w:rPr>
          <w:rFonts w:ascii="Times New Roman" w:hAnsi="Times New Roman" w:cs="Times New Roman"/>
          <w:sz w:val="24"/>
          <w:szCs w:val="24"/>
        </w:rPr>
        <w:t xml:space="preserve">το </w:t>
      </w:r>
      <w:r w:rsidR="00425E4A" w:rsidRPr="00E36734">
        <w:rPr>
          <w:rFonts w:ascii="Times New Roman" w:hAnsi="Times New Roman" w:cs="Times New Roman"/>
          <w:sz w:val="24"/>
          <w:szCs w:val="24"/>
        </w:rPr>
        <w:t>74,9</w:t>
      </w:r>
      <w:r w:rsidRPr="00E36734">
        <w:rPr>
          <w:rFonts w:ascii="Times New Roman" w:hAnsi="Times New Roman" w:cs="Times New Roman"/>
          <w:sz w:val="24"/>
          <w:szCs w:val="24"/>
        </w:rPr>
        <w:t>% των επιχειρήσεων δήλωσε ότι</w:t>
      </w:r>
      <w:r w:rsidR="00425E4A" w:rsidRPr="00E36734">
        <w:rPr>
          <w:rFonts w:ascii="Times New Roman" w:hAnsi="Times New Roman" w:cs="Times New Roman"/>
          <w:sz w:val="24"/>
          <w:szCs w:val="24"/>
        </w:rPr>
        <w:t xml:space="preserve"> το Β εξάμηνο του 2020</w:t>
      </w:r>
      <w:r w:rsidRPr="00E36734">
        <w:rPr>
          <w:rFonts w:ascii="Times New Roman" w:hAnsi="Times New Roman" w:cs="Times New Roman"/>
          <w:sz w:val="24"/>
          <w:szCs w:val="24"/>
        </w:rPr>
        <w:t xml:space="preserve"> μειώθηκε</w:t>
      </w:r>
      <w:r w:rsidR="00425E4A" w:rsidRPr="00E36734">
        <w:rPr>
          <w:rFonts w:ascii="Times New Roman" w:hAnsi="Times New Roman" w:cs="Times New Roman"/>
          <w:sz w:val="24"/>
          <w:szCs w:val="24"/>
        </w:rPr>
        <w:t xml:space="preserve"> περεταίρω η ρευστότητα</w:t>
      </w:r>
      <w:r w:rsidR="006D0D98" w:rsidRPr="00E36734">
        <w:rPr>
          <w:rFonts w:ascii="Times New Roman" w:hAnsi="Times New Roman" w:cs="Times New Roman"/>
          <w:sz w:val="24"/>
          <w:szCs w:val="24"/>
        </w:rPr>
        <w:t xml:space="preserve"> του</w:t>
      </w:r>
      <w:r w:rsidRPr="00E36734">
        <w:rPr>
          <w:rFonts w:ascii="Times New Roman" w:hAnsi="Times New Roman" w:cs="Times New Roman"/>
          <w:sz w:val="24"/>
          <w:szCs w:val="24"/>
        </w:rPr>
        <w:t xml:space="preserve">, </w:t>
      </w:r>
      <w:r w:rsidR="00425E4A" w:rsidRPr="00E36734">
        <w:rPr>
          <w:rFonts w:ascii="Times New Roman" w:hAnsi="Times New Roman" w:cs="Times New Roman"/>
          <w:sz w:val="24"/>
          <w:szCs w:val="24"/>
        </w:rPr>
        <w:t>έναντι</w:t>
      </w:r>
      <w:r w:rsidRPr="00E36734">
        <w:rPr>
          <w:rFonts w:ascii="Times New Roman" w:hAnsi="Times New Roman" w:cs="Times New Roman"/>
          <w:sz w:val="24"/>
          <w:szCs w:val="24"/>
        </w:rPr>
        <w:t xml:space="preserve"> μόλις το</w:t>
      </w:r>
      <w:r w:rsidR="00425E4A" w:rsidRPr="00E36734">
        <w:rPr>
          <w:rFonts w:ascii="Times New Roman" w:hAnsi="Times New Roman" w:cs="Times New Roman"/>
          <w:sz w:val="24"/>
          <w:szCs w:val="24"/>
        </w:rPr>
        <w:t>υ</w:t>
      </w:r>
      <w:r w:rsidRPr="00E36734">
        <w:rPr>
          <w:rFonts w:ascii="Times New Roman" w:hAnsi="Times New Roman" w:cs="Times New Roman"/>
          <w:sz w:val="24"/>
          <w:szCs w:val="24"/>
        </w:rPr>
        <w:t xml:space="preserve"> </w:t>
      </w:r>
      <w:r w:rsidR="00425E4A" w:rsidRPr="00E36734">
        <w:rPr>
          <w:rFonts w:ascii="Times New Roman" w:hAnsi="Times New Roman" w:cs="Times New Roman"/>
          <w:sz w:val="24"/>
          <w:szCs w:val="24"/>
        </w:rPr>
        <w:t>7,5</w:t>
      </w:r>
      <w:r w:rsidRPr="00E36734">
        <w:rPr>
          <w:rFonts w:ascii="Times New Roman" w:hAnsi="Times New Roman" w:cs="Times New Roman"/>
          <w:sz w:val="24"/>
          <w:szCs w:val="24"/>
        </w:rPr>
        <w:t xml:space="preserve">% </w:t>
      </w:r>
      <w:r w:rsidR="00425E4A" w:rsidRPr="00E36734">
        <w:rPr>
          <w:rFonts w:ascii="Times New Roman" w:hAnsi="Times New Roman" w:cs="Times New Roman"/>
          <w:sz w:val="24"/>
          <w:szCs w:val="24"/>
        </w:rPr>
        <w:t xml:space="preserve">που </w:t>
      </w:r>
      <w:r w:rsidRPr="00E36734">
        <w:rPr>
          <w:rFonts w:ascii="Times New Roman" w:hAnsi="Times New Roman" w:cs="Times New Roman"/>
          <w:sz w:val="24"/>
          <w:szCs w:val="24"/>
        </w:rPr>
        <w:t>δήλωσε ότι αυξήθηκε και το</w:t>
      </w:r>
      <w:r w:rsidR="00425E4A" w:rsidRPr="00E36734">
        <w:rPr>
          <w:rFonts w:ascii="Times New Roman" w:hAnsi="Times New Roman" w:cs="Times New Roman"/>
          <w:sz w:val="24"/>
          <w:szCs w:val="24"/>
        </w:rPr>
        <w:t>υ</w:t>
      </w:r>
      <w:r w:rsidRPr="00E36734">
        <w:rPr>
          <w:rFonts w:ascii="Times New Roman" w:hAnsi="Times New Roman" w:cs="Times New Roman"/>
          <w:sz w:val="24"/>
          <w:szCs w:val="24"/>
        </w:rPr>
        <w:t xml:space="preserve"> </w:t>
      </w:r>
      <w:r w:rsidR="00425E4A" w:rsidRPr="00E36734">
        <w:rPr>
          <w:rFonts w:ascii="Times New Roman" w:hAnsi="Times New Roman" w:cs="Times New Roman"/>
          <w:sz w:val="24"/>
          <w:szCs w:val="24"/>
        </w:rPr>
        <w:t>16,9</w:t>
      </w:r>
      <w:r w:rsidRPr="00E36734">
        <w:rPr>
          <w:rFonts w:ascii="Times New Roman" w:hAnsi="Times New Roman" w:cs="Times New Roman"/>
          <w:sz w:val="24"/>
          <w:szCs w:val="24"/>
        </w:rPr>
        <w:t xml:space="preserve">% </w:t>
      </w:r>
      <w:r w:rsidR="00425E4A" w:rsidRPr="00E36734">
        <w:rPr>
          <w:rFonts w:ascii="Times New Roman" w:hAnsi="Times New Roman" w:cs="Times New Roman"/>
          <w:sz w:val="24"/>
          <w:szCs w:val="24"/>
        </w:rPr>
        <w:t xml:space="preserve">που δήλωσε </w:t>
      </w:r>
      <w:r w:rsidRPr="00E36734">
        <w:rPr>
          <w:rFonts w:ascii="Times New Roman" w:hAnsi="Times New Roman" w:cs="Times New Roman"/>
          <w:sz w:val="24"/>
          <w:szCs w:val="24"/>
        </w:rPr>
        <w:t>ότι παρέμεινε σταθερή</w:t>
      </w:r>
      <w:bookmarkEnd w:id="14"/>
      <w:r w:rsidRPr="00E36734">
        <w:rPr>
          <w:rFonts w:ascii="Times New Roman" w:hAnsi="Times New Roman" w:cs="Times New Roman"/>
          <w:sz w:val="24"/>
          <w:szCs w:val="24"/>
        </w:rPr>
        <w:t xml:space="preserve">. </w:t>
      </w:r>
      <w:r w:rsidR="00425E4A" w:rsidRPr="00E36734">
        <w:rPr>
          <w:rFonts w:ascii="Times New Roman" w:hAnsi="Times New Roman" w:cs="Times New Roman"/>
          <w:sz w:val="24"/>
          <w:szCs w:val="24"/>
        </w:rPr>
        <w:t>Τις χειρότερες επιδόσεις κατέγραψαν οι επιχειρήσεις με ετήσιο τζίρο κάτω από 50.000 € (81,8%), οι επιχειρήσεις που ανέστειλαν την δραστηριότητα τους με κρατική εντολή (85,3%) και οι επιχειρήσεις εστίασης (</w:t>
      </w:r>
      <w:r w:rsidR="00B35AC3" w:rsidRPr="00E36734">
        <w:rPr>
          <w:rFonts w:ascii="Times New Roman" w:hAnsi="Times New Roman" w:cs="Times New Roman"/>
          <w:sz w:val="24"/>
          <w:szCs w:val="24"/>
        </w:rPr>
        <w:t>85,3%).</w:t>
      </w:r>
    </w:p>
    <w:bookmarkEnd w:id="13"/>
    <w:p w14:paraId="503FD5B7" w14:textId="77777777" w:rsidR="00425E4A" w:rsidRPr="00E36734" w:rsidRDefault="00425E4A" w:rsidP="00761263">
      <w:pPr>
        <w:spacing w:after="0" w:line="360" w:lineRule="auto"/>
        <w:jc w:val="both"/>
        <w:rPr>
          <w:rFonts w:ascii="Times New Roman" w:hAnsi="Times New Roman" w:cs="Times New Roman"/>
          <w:sz w:val="18"/>
          <w:szCs w:val="18"/>
        </w:rPr>
      </w:pP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809"/>
        <w:gridCol w:w="2185"/>
        <w:gridCol w:w="2064"/>
        <w:gridCol w:w="2164"/>
        <w:gridCol w:w="2150"/>
      </w:tblGrid>
      <w:tr w:rsidR="00425E4A" w:rsidRPr="00E36734" w14:paraId="627CF75C" w14:textId="6FFC0538" w:rsidTr="00425E4A">
        <w:trPr>
          <w:trHeight w:val="458"/>
        </w:trPr>
        <w:tc>
          <w:tcPr>
            <w:tcW w:w="1809" w:type="dxa"/>
            <w:vMerge w:val="restart"/>
            <w:shd w:val="clear" w:color="auto" w:fill="FDEADA"/>
            <w:tcMar>
              <w:top w:w="12" w:type="dxa"/>
              <w:left w:w="12" w:type="dxa"/>
              <w:bottom w:w="0" w:type="dxa"/>
              <w:right w:w="12" w:type="dxa"/>
            </w:tcMar>
            <w:vAlign w:val="bottom"/>
            <w:hideMark/>
          </w:tcPr>
          <w:p w14:paraId="71C964F2" w14:textId="77777777" w:rsidR="006D0D98" w:rsidRPr="00E36734" w:rsidRDefault="006D0D98" w:rsidP="00425E4A">
            <w:pPr>
              <w:spacing w:line="240" w:lineRule="auto"/>
              <w:jc w:val="center"/>
              <w:rPr>
                <w:rFonts w:eastAsia="Times New Roman" w:cstheme="minorHAnsi"/>
                <w:b/>
                <w:bCs/>
                <w:sz w:val="20"/>
                <w:szCs w:val="20"/>
              </w:rPr>
            </w:pPr>
            <w:bookmarkStart w:id="15" w:name="_Hlk67916229"/>
            <w:r w:rsidRPr="00E36734">
              <w:rPr>
                <w:rFonts w:eastAsia="Times New Roman" w:cstheme="minorHAnsi"/>
                <w:b/>
                <w:bCs/>
                <w:sz w:val="20"/>
                <w:szCs w:val="20"/>
              </w:rPr>
              <w:t>Πίνακας 4</w:t>
            </w:r>
          </w:p>
          <w:p w14:paraId="6B40CCD5" w14:textId="34C98094" w:rsidR="00425E4A" w:rsidRPr="00E36734" w:rsidRDefault="00425E4A" w:rsidP="00425E4A">
            <w:pPr>
              <w:spacing w:line="240" w:lineRule="auto"/>
              <w:jc w:val="center"/>
              <w:rPr>
                <w:rFonts w:eastAsia="Times New Roman" w:cstheme="minorHAnsi"/>
                <w:sz w:val="18"/>
                <w:szCs w:val="18"/>
              </w:rPr>
            </w:pPr>
            <w:r w:rsidRPr="00E36734">
              <w:rPr>
                <w:rFonts w:eastAsia="Times New Roman" w:cstheme="minorHAnsi"/>
                <w:sz w:val="18"/>
                <w:szCs w:val="18"/>
              </w:rPr>
              <w:t>Η ρευστότητα της επιχε</w:t>
            </w:r>
            <w:r w:rsidR="004D3693" w:rsidRPr="00E36734">
              <w:rPr>
                <w:rFonts w:eastAsia="Times New Roman" w:cstheme="minorHAnsi"/>
                <w:sz w:val="18"/>
                <w:szCs w:val="18"/>
              </w:rPr>
              <w:t>ί</w:t>
            </w:r>
            <w:r w:rsidRPr="00E36734">
              <w:rPr>
                <w:rFonts w:eastAsia="Times New Roman" w:cstheme="minorHAnsi"/>
                <w:sz w:val="18"/>
                <w:szCs w:val="18"/>
              </w:rPr>
              <w:t>ρ</w:t>
            </w:r>
            <w:r w:rsidR="004D3693" w:rsidRPr="00E36734">
              <w:rPr>
                <w:rFonts w:eastAsia="Times New Roman" w:cstheme="minorHAnsi"/>
                <w:sz w:val="18"/>
                <w:szCs w:val="18"/>
              </w:rPr>
              <w:t>η</w:t>
            </w:r>
            <w:r w:rsidRPr="00E36734">
              <w:rPr>
                <w:rFonts w:eastAsia="Times New Roman" w:cstheme="minorHAnsi"/>
                <w:sz w:val="18"/>
                <w:szCs w:val="18"/>
              </w:rPr>
              <w:t>σή σας το Β εξάμηνο του 2020:</w:t>
            </w:r>
          </w:p>
        </w:tc>
        <w:tc>
          <w:tcPr>
            <w:tcW w:w="6413" w:type="dxa"/>
            <w:gridSpan w:val="3"/>
            <w:shd w:val="clear" w:color="auto" w:fill="FDEADA"/>
            <w:tcMar>
              <w:top w:w="12" w:type="dxa"/>
              <w:left w:w="12" w:type="dxa"/>
              <w:bottom w:w="0" w:type="dxa"/>
              <w:right w:w="12" w:type="dxa"/>
            </w:tcMar>
            <w:vAlign w:val="center"/>
            <w:hideMark/>
          </w:tcPr>
          <w:p w14:paraId="2FFEF154" w14:textId="77777777" w:rsidR="00425E4A" w:rsidRPr="00E36734" w:rsidRDefault="00425E4A" w:rsidP="00425E4A">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Επιχειρήσεις που το τελευταίο εξάμηνο...</w:t>
            </w:r>
          </w:p>
        </w:tc>
        <w:tc>
          <w:tcPr>
            <w:tcW w:w="2150" w:type="dxa"/>
            <w:vMerge w:val="restart"/>
            <w:shd w:val="clear" w:color="auto" w:fill="FDEADA"/>
          </w:tcPr>
          <w:p w14:paraId="458C565D" w14:textId="77777777" w:rsidR="00425E4A" w:rsidRPr="00E36734" w:rsidRDefault="00425E4A" w:rsidP="00425E4A">
            <w:pPr>
              <w:spacing w:after="0" w:line="240" w:lineRule="auto"/>
              <w:jc w:val="center"/>
              <w:textAlignment w:val="center"/>
              <w:rPr>
                <w:rFonts w:eastAsia="Microsoft JhengHei UI" w:cstheme="minorHAnsi"/>
                <w:color w:val="000000"/>
                <w:kern w:val="24"/>
                <w:sz w:val="18"/>
                <w:szCs w:val="18"/>
              </w:rPr>
            </w:pPr>
          </w:p>
          <w:p w14:paraId="4FD0665F" w14:textId="77777777" w:rsidR="00425E4A" w:rsidRPr="00E36734" w:rsidRDefault="00425E4A" w:rsidP="00425E4A">
            <w:pPr>
              <w:spacing w:after="0" w:line="240" w:lineRule="auto"/>
              <w:jc w:val="center"/>
              <w:textAlignment w:val="center"/>
              <w:rPr>
                <w:rFonts w:eastAsia="Microsoft JhengHei UI" w:cstheme="minorHAnsi"/>
                <w:color w:val="000000"/>
                <w:kern w:val="24"/>
                <w:sz w:val="18"/>
                <w:szCs w:val="18"/>
              </w:rPr>
            </w:pPr>
          </w:p>
          <w:p w14:paraId="74A56A75" w14:textId="33DA1124" w:rsidR="00425E4A" w:rsidRPr="00E36734" w:rsidRDefault="00425E4A" w:rsidP="00425E4A">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Επιχειρήσεις</w:t>
            </w:r>
          </w:p>
          <w:p w14:paraId="32612E34" w14:textId="226415CF" w:rsidR="00425E4A" w:rsidRPr="00E36734" w:rsidRDefault="00425E4A" w:rsidP="00425E4A">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 εστίασης</w:t>
            </w:r>
          </w:p>
        </w:tc>
      </w:tr>
      <w:tr w:rsidR="00425E4A" w:rsidRPr="00E36734" w14:paraId="724CD7A0" w14:textId="55365A47" w:rsidTr="00425E4A">
        <w:trPr>
          <w:trHeight w:val="872"/>
        </w:trPr>
        <w:tc>
          <w:tcPr>
            <w:tcW w:w="1809" w:type="dxa"/>
            <w:vMerge/>
            <w:shd w:val="clear" w:color="auto" w:fill="FDEADA"/>
            <w:tcMar>
              <w:top w:w="12" w:type="dxa"/>
              <w:left w:w="12" w:type="dxa"/>
              <w:bottom w:w="0" w:type="dxa"/>
              <w:right w:w="12" w:type="dxa"/>
            </w:tcMar>
            <w:vAlign w:val="bottom"/>
            <w:hideMark/>
          </w:tcPr>
          <w:p w14:paraId="6F2A6813" w14:textId="77777777" w:rsidR="00425E4A" w:rsidRPr="00E36734" w:rsidRDefault="00425E4A" w:rsidP="00425E4A">
            <w:pPr>
              <w:spacing w:after="0" w:line="240" w:lineRule="auto"/>
              <w:jc w:val="center"/>
              <w:rPr>
                <w:rFonts w:eastAsia="Times New Roman" w:cstheme="minorHAnsi"/>
                <w:sz w:val="18"/>
                <w:szCs w:val="18"/>
              </w:rPr>
            </w:pPr>
          </w:p>
        </w:tc>
        <w:tc>
          <w:tcPr>
            <w:tcW w:w="2185" w:type="dxa"/>
            <w:shd w:val="clear" w:color="auto" w:fill="FDEADA"/>
            <w:tcMar>
              <w:top w:w="12" w:type="dxa"/>
              <w:left w:w="12" w:type="dxa"/>
              <w:bottom w:w="0" w:type="dxa"/>
              <w:right w:w="12" w:type="dxa"/>
            </w:tcMar>
            <w:vAlign w:val="center"/>
            <w:hideMark/>
          </w:tcPr>
          <w:p w14:paraId="48E79112" w14:textId="77777777" w:rsidR="00425E4A" w:rsidRPr="00E36734" w:rsidRDefault="00425E4A" w:rsidP="00425E4A">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ανέστειλαν την δραστηριότητα τους με κρατική εντολή</w:t>
            </w:r>
          </w:p>
        </w:tc>
        <w:tc>
          <w:tcPr>
            <w:tcW w:w="2064" w:type="dxa"/>
            <w:shd w:val="clear" w:color="auto" w:fill="FDEADA"/>
            <w:tcMar>
              <w:top w:w="12" w:type="dxa"/>
              <w:left w:w="12" w:type="dxa"/>
              <w:bottom w:w="0" w:type="dxa"/>
              <w:right w:w="12" w:type="dxa"/>
            </w:tcMar>
            <w:vAlign w:val="center"/>
            <w:hideMark/>
          </w:tcPr>
          <w:p w14:paraId="76B5363A" w14:textId="77777777" w:rsidR="00425E4A" w:rsidRPr="00E36734" w:rsidRDefault="00425E4A" w:rsidP="00425E4A">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ανήκαν στις πληττόμενες βάσει ΚΑΔ επιχειρήσεις</w:t>
            </w:r>
          </w:p>
        </w:tc>
        <w:tc>
          <w:tcPr>
            <w:tcW w:w="2164" w:type="dxa"/>
            <w:shd w:val="clear" w:color="auto" w:fill="FDEADA"/>
            <w:tcMar>
              <w:top w:w="12" w:type="dxa"/>
              <w:left w:w="12" w:type="dxa"/>
              <w:bottom w:w="0" w:type="dxa"/>
              <w:right w:w="12" w:type="dxa"/>
            </w:tcMar>
            <w:vAlign w:val="center"/>
            <w:hideMark/>
          </w:tcPr>
          <w:p w14:paraId="20EE5558" w14:textId="063880E1" w:rsidR="00425E4A" w:rsidRPr="00E36734" w:rsidRDefault="00425E4A" w:rsidP="00425E4A">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Δεν ανήκαν σε καμία από τις παρακείμενες κατηγορίες</w:t>
            </w:r>
          </w:p>
        </w:tc>
        <w:tc>
          <w:tcPr>
            <w:tcW w:w="2150" w:type="dxa"/>
            <w:vMerge/>
            <w:shd w:val="clear" w:color="auto" w:fill="FDEADA"/>
          </w:tcPr>
          <w:p w14:paraId="21324A62" w14:textId="77777777" w:rsidR="00425E4A" w:rsidRPr="00E36734" w:rsidRDefault="00425E4A" w:rsidP="00425E4A">
            <w:pPr>
              <w:spacing w:after="0" w:line="240" w:lineRule="auto"/>
              <w:jc w:val="center"/>
              <w:textAlignment w:val="center"/>
              <w:rPr>
                <w:rFonts w:eastAsia="Microsoft JhengHei UI" w:cstheme="minorHAnsi"/>
                <w:color w:val="000000"/>
                <w:kern w:val="24"/>
                <w:sz w:val="18"/>
                <w:szCs w:val="18"/>
              </w:rPr>
            </w:pPr>
          </w:p>
        </w:tc>
      </w:tr>
      <w:tr w:rsidR="00425E4A" w:rsidRPr="00E36734" w14:paraId="730912FF" w14:textId="215C5D5B" w:rsidTr="00E55E93">
        <w:trPr>
          <w:trHeight w:val="458"/>
        </w:trPr>
        <w:tc>
          <w:tcPr>
            <w:tcW w:w="1809" w:type="dxa"/>
            <w:shd w:val="clear" w:color="auto" w:fill="auto"/>
            <w:tcMar>
              <w:top w:w="12" w:type="dxa"/>
              <w:left w:w="12" w:type="dxa"/>
              <w:bottom w:w="0" w:type="dxa"/>
              <w:right w:w="12" w:type="dxa"/>
            </w:tcMar>
            <w:vAlign w:val="center"/>
            <w:hideMark/>
          </w:tcPr>
          <w:p w14:paraId="08F8F9FB" w14:textId="77777777" w:rsidR="00425E4A" w:rsidRPr="00E36734" w:rsidRDefault="00425E4A" w:rsidP="00425E4A">
            <w:pPr>
              <w:spacing w:after="0" w:line="240" w:lineRule="auto"/>
              <w:jc w:val="center"/>
              <w:textAlignment w:val="bottom"/>
              <w:rPr>
                <w:rFonts w:eastAsia="Times New Roman" w:cstheme="minorHAnsi"/>
                <w:sz w:val="18"/>
                <w:szCs w:val="18"/>
                <w:lang w:val="en-US"/>
              </w:rPr>
            </w:pPr>
            <w:r w:rsidRPr="00E36734">
              <w:rPr>
                <w:rFonts w:eastAsia="Microsoft JhengHei UI" w:cstheme="minorHAnsi"/>
                <w:color w:val="000000"/>
                <w:kern w:val="24"/>
                <w:sz w:val="18"/>
                <w:szCs w:val="18"/>
              </w:rPr>
              <w:t>αυξήθηκε</w:t>
            </w:r>
          </w:p>
        </w:tc>
        <w:tc>
          <w:tcPr>
            <w:tcW w:w="2185" w:type="dxa"/>
            <w:shd w:val="clear" w:color="auto" w:fill="auto"/>
            <w:tcMar>
              <w:top w:w="12" w:type="dxa"/>
              <w:left w:w="12" w:type="dxa"/>
              <w:bottom w:w="0" w:type="dxa"/>
              <w:right w:w="12" w:type="dxa"/>
            </w:tcMar>
            <w:vAlign w:val="center"/>
            <w:hideMark/>
          </w:tcPr>
          <w:p w14:paraId="529AD88A" w14:textId="77777777" w:rsidR="00425E4A" w:rsidRPr="00E36734" w:rsidRDefault="00425E4A" w:rsidP="00425E4A">
            <w:pPr>
              <w:spacing w:after="0" w:line="240" w:lineRule="auto"/>
              <w:jc w:val="center"/>
              <w:textAlignment w:val="center"/>
              <w:rPr>
                <w:rFonts w:eastAsia="Times New Roman" w:cstheme="minorHAnsi"/>
                <w:sz w:val="18"/>
                <w:szCs w:val="18"/>
                <w:lang w:val="en-US"/>
              </w:rPr>
            </w:pPr>
            <w:r w:rsidRPr="00E36734">
              <w:rPr>
                <w:rFonts w:eastAsia="Microsoft JhengHei UI" w:cstheme="minorHAnsi"/>
                <w:color w:val="000000"/>
                <w:kern w:val="24"/>
                <w:sz w:val="18"/>
                <w:szCs w:val="18"/>
                <w:lang w:val="en-US"/>
              </w:rPr>
              <w:t>6.8</w:t>
            </w:r>
          </w:p>
        </w:tc>
        <w:tc>
          <w:tcPr>
            <w:tcW w:w="2064" w:type="dxa"/>
            <w:shd w:val="clear" w:color="auto" w:fill="auto"/>
            <w:tcMar>
              <w:top w:w="12" w:type="dxa"/>
              <w:left w:w="12" w:type="dxa"/>
              <w:bottom w:w="0" w:type="dxa"/>
              <w:right w:w="12" w:type="dxa"/>
            </w:tcMar>
            <w:vAlign w:val="center"/>
            <w:hideMark/>
          </w:tcPr>
          <w:p w14:paraId="1972157B" w14:textId="77777777" w:rsidR="00425E4A" w:rsidRPr="00E36734" w:rsidRDefault="00425E4A" w:rsidP="00425E4A">
            <w:pPr>
              <w:spacing w:after="0" w:line="240" w:lineRule="auto"/>
              <w:jc w:val="center"/>
              <w:textAlignment w:val="center"/>
              <w:rPr>
                <w:rFonts w:eastAsia="Times New Roman" w:cstheme="minorHAnsi"/>
                <w:sz w:val="18"/>
                <w:szCs w:val="18"/>
                <w:lang w:val="en-US"/>
              </w:rPr>
            </w:pPr>
            <w:r w:rsidRPr="00E36734">
              <w:rPr>
                <w:rFonts w:eastAsia="Microsoft JhengHei UI" w:cstheme="minorHAnsi"/>
                <w:color w:val="000000"/>
                <w:kern w:val="24"/>
                <w:sz w:val="18"/>
                <w:szCs w:val="18"/>
                <w:lang w:val="en-US"/>
              </w:rPr>
              <w:t>6.4</w:t>
            </w:r>
          </w:p>
        </w:tc>
        <w:tc>
          <w:tcPr>
            <w:tcW w:w="2164" w:type="dxa"/>
            <w:shd w:val="clear" w:color="auto" w:fill="auto"/>
            <w:tcMar>
              <w:top w:w="12" w:type="dxa"/>
              <w:left w:w="12" w:type="dxa"/>
              <w:bottom w:w="0" w:type="dxa"/>
              <w:right w:w="12" w:type="dxa"/>
            </w:tcMar>
            <w:vAlign w:val="center"/>
            <w:hideMark/>
          </w:tcPr>
          <w:p w14:paraId="48AEC003" w14:textId="77777777" w:rsidR="00425E4A" w:rsidRPr="00E36734" w:rsidRDefault="00425E4A" w:rsidP="00425E4A">
            <w:pPr>
              <w:spacing w:after="0" w:line="240" w:lineRule="auto"/>
              <w:jc w:val="center"/>
              <w:textAlignment w:val="center"/>
              <w:rPr>
                <w:rFonts w:eastAsia="Times New Roman" w:cstheme="minorHAnsi"/>
                <w:sz w:val="18"/>
                <w:szCs w:val="18"/>
                <w:lang w:val="en-US"/>
              </w:rPr>
            </w:pPr>
            <w:r w:rsidRPr="00E36734">
              <w:rPr>
                <w:rFonts w:eastAsia="Microsoft JhengHei UI" w:cstheme="minorHAnsi"/>
                <w:color w:val="000000"/>
                <w:kern w:val="24"/>
                <w:sz w:val="18"/>
                <w:szCs w:val="18"/>
                <w:lang w:val="en-US"/>
              </w:rPr>
              <w:t>10.9</w:t>
            </w:r>
          </w:p>
        </w:tc>
        <w:tc>
          <w:tcPr>
            <w:tcW w:w="2150" w:type="dxa"/>
            <w:shd w:val="clear" w:color="auto" w:fill="auto"/>
            <w:vAlign w:val="center"/>
          </w:tcPr>
          <w:p w14:paraId="6F763809" w14:textId="0000C416" w:rsidR="00425E4A" w:rsidRPr="00E36734" w:rsidRDefault="00B35AC3" w:rsidP="00425E4A">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8,8</w:t>
            </w:r>
          </w:p>
        </w:tc>
      </w:tr>
      <w:tr w:rsidR="00425E4A" w:rsidRPr="00E36734" w14:paraId="25A730F8" w14:textId="25509227" w:rsidTr="00E55E93">
        <w:trPr>
          <w:trHeight w:val="458"/>
        </w:trPr>
        <w:tc>
          <w:tcPr>
            <w:tcW w:w="1809" w:type="dxa"/>
            <w:shd w:val="clear" w:color="auto" w:fill="auto"/>
            <w:tcMar>
              <w:top w:w="12" w:type="dxa"/>
              <w:left w:w="12" w:type="dxa"/>
              <w:bottom w:w="0" w:type="dxa"/>
              <w:right w:w="12" w:type="dxa"/>
            </w:tcMar>
            <w:vAlign w:val="center"/>
            <w:hideMark/>
          </w:tcPr>
          <w:p w14:paraId="3E2AADA8" w14:textId="77777777" w:rsidR="00425E4A" w:rsidRPr="00E36734" w:rsidRDefault="00425E4A" w:rsidP="00425E4A">
            <w:pPr>
              <w:spacing w:after="0" w:line="240" w:lineRule="auto"/>
              <w:jc w:val="center"/>
              <w:textAlignment w:val="bottom"/>
              <w:rPr>
                <w:rFonts w:eastAsia="Times New Roman" w:cstheme="minorHAnsi"/>
                <w:sz w:val="18"/>
                <w:szCs w:val="18"/>
                <w:lang w:val="en-US"/>
              </w:rPr>
            </w:pPr>
            <w:r w:rsidRPr="00E36734">
              <w:rPr>
                <w:rFonts w:eastAsia="Microsoft JhengHei UI" w:cstheme="minorHAnsi"/>
                <w:color w:val="000000"/>
                <w:kern w:val="24"/>
                <w:sz w:val="18"/>
                <w:szCs w:val="18"/>
              </w:rPr>
              <w:t>μειώθηκε</w:t>
            </w:r>
          </w:p>
        </w:tc>
        <w:tc>
          <w:tcPr>
            <w:tcW w:w="2185" w:type="dxa"/>
            <w:shd w:val="clear" w:color="auto" w:fill="auto"/>
            <w:tcMar>
              <w:top w:w="12" w:type="dxa"/>
              <w:left w:w="12" w:type="dxa"/>
              <w:bottom w:w="0" w:type="dxa"/>
              <w:right w:w="12" w:type="dxa"/>
            </w:tcMar>
            <w:vAlign w:val="center"/>
            <w:hideMark/>
          </w:tcPr>
          <w:p w14:paraId="0654EAF7" w14:textId="77777777" w:rsidR="00425E4A" w:rsidRPr="00E36734" w:rsidRDefault="00425E4A" w:rsidP="00425E4A">
            <w:pPr>
              <w:spacing w:after="0" w:line="240" w:lineRule="auto"/>
              <w:jc w:val="center"/>
              <w:textAlignment w:val="center"/>
              <w:rPr>
                <w:rFonts w:eastAsia="Times New Roman" w:cstheme="minorHAnsi"/>
                <w:sz w:val="18"/>
                <w:szCs w:val="18"/>
                <w:lang w:val="en-US"/>
              </w:rPr>
            </w:pPr>
            <w:r w:rsidRPr="00E36734">
              <w:rPr>
                <w:rFonts w:eastAsia="Microsoft JhengHei UI" w:cstheme="minorHAnsi"/>
                <w:color w:val="000000"/>
                <w:kern w:val="24"/>
                <w:sz w:val="18"/>
                <w:szCs w:val="18"/>
                <w:lang w:val="en-US"/>
              </w:rPr>
              <w:t>85.3</w:t>
            </w:r>
          </w:p>
        </w:tc>
        <w:tc>
          <w:tcPr>
            <w:tcW w:w="2064" w:type="dxa"/>
            <w:shd w:val="clear" w:color="auto" w:fill="auto"/>
            <w:tcMar>
              <w:top w:w="12" w:type="dxa"/>
              <w:left w:w="12" w:type="dxa"/>
              <w:bottom w:w="0" w:type="dxa"/>
              <w:right w:w="12" w:type="dxa"/>
            </w:tcMar>
            <w:vAlign w:val="center"/>
            <w:hideMark/>
          </w:tcPr>
          <w:p w14:paraId="02C6AC8C" w14:textId="77777777" w:rsidR="00425E4A" w:rsidRPr="00E36734" w:rsidRDefault="00425E4A" w:rsidP="00425E4A">
            <w:pPr>
              <w:spacing w:after="0" w:line="240" w:lineRule="auto"/>
              <w:jc w:val="center"/>
              <w:textAlignment w:val="center"/>
              <w:rPr>
                <w:rFonts w:eastAsia="Times New Roman" w:cstheme="minorHAnsi"/>
                <w:sz w:val="18"/>
                <w:szCs w:val="18"/>
                <w:lang w:val="en-US"/>
              </w:rPr>
            </w:pPr>
            <w:r w:rsidRPr="00E36734">
              <w:rPr>
                <w:rFonts w:eastAsia="Microsoft JhengHei UI" w:cstheme="minorHAnsi"/>
                <w:color w:val="000000"/>
                <w:kern w:val="24"/>
                <w:sz w:val="18"/>
                <w:szCs w:val="18"/>
                <w:lang w:val="en-US"/>
              </w:rPr>
              <w:t>78</w:t>
            </w:r>
          </w:p>
        </w:tc>
        <w:tc>
          <w:tcPr>
            <w:tcW w:w="2164" w:type="dxa"/>
            <w:shd w:val="clear" w:color="auto" w:fill="auto"/>
            <w:tcMar>
              <w:top w:w="12" w:type="dxa"/>
              <w:left w:w="12" w:type="dxa"/>
              <w:bottom w:w="0" w:type="dxa"/>
              <w:right w:w="12" w:type="dxa"/>
            </w:tcMar>
            <w:vAlign w:val="center"/>
            <w:hideMark/>
          </w:tcPr>
          <w:p w14:paraId="1AD62DC9" w14:textId="77777777" w:rsidR="00425E4A" w:rsidRPr="00E36734" w:rsidRDefault="00425E4A" w:rsidP="00425E4A">
            <w:pPr>
              <w:spacing w:after="0" w:line="240" w:lineRule="auto"/>
              <w:jc w:val="center"/>
              <w:textAlignment w:val="center"/>
              <w:rPr>
                <w:rFonts w:eastAsia="Times New Roman" w:cstheme="minorHAnsi"/>
                <w:sz w:val="18"/>
                <w:szCs w:val="18"/>
                <w:lang w:val="en-US"/>
              </w:rPr>
            </w:pPr>
            <w:r w:rsidRPr="00E36734">
              <w:rPr>
                <w:rFonts w:eastAsia="Microsoft JhengHei UI" w:cstheme="minorHAnsi"/>
                <w:color w:val="000000"/>
                <w:kern w:val="24"/>
                <w:sz w:val="18"/>
                <w:szCs w:val="18"/>
                <w:lang w:val="en-US"/>
              </w:rPr>
              <w:t>57.4</w:t>
            </w:r>
          </w:p>
        </w:tc>
        <w:tc>
          <w:tcPr>
            <w:tcW w:w="2150" w:type="dxa"/>
            <w:shd w:val="clear" w:color="auto" w:fill="auto"/>
            <w:vAlign w:val="center"/>
          </w:tcPr>
          <w:p w14:paraId="1F03B6C4" w14:textId="7088A6A0" w:rsidR="00425E4A" w:rsidRPr="00E36734" w:rsidRDefault="00425E4A" w:rsidP="00425E4A">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85.3</w:t>
            </w:r>
          </w:p>
        </w:tc>
      </w:tr>
      <w:tr w:rsidR="00425E4A" w:rsidRPr="00E36734" w14:paraId="646DD807" w14:textId="6C873373" w:rsidTr="00E55E93">
        <w:trPr>
          <w:trHeight w:val="458"/>
        </w:trPr>
        <w:tc>
          <w:tcPr>
            <w:tcW w:w="1809" w:type="dxa"/>
            <w:shd w:val="clear" w:color="auto" w:fill="auto"/>
            <w:tcMar>
              <w:top w:w="12" w:type="dxa"/>
              <w:left w:w="12" w:type="dxa"/>
              <w:bottom w:w="0" w:type="dxa"/>
              <w:right w:w="12" w:type="dxa"/>
            </w:tcMar>
            <w:vAlign w:val="center"/>
            <w:hideMark/>
          </w:tcPr>
          <w:p w14:paraId="1A0E6660" w14:textId="77777777" w:rsidR="00425E4A" w:rsidRPr="00E36734" w:rsidRDefault="00425E4A" w:rsidP="00425E4A">
            <w:pPr>
              <w:spacing w:after="0" w:line="240" w:lineRule="auto"/>
              <w:jc w:val="center"/>
              <w:textAlignment w:val="bottom"/>
              <w:rPr>
                <w:rFonts w:eastAsia="Times New Roman" w:cstheme="minorHAnsi"/>
                <w:sz w:val="18"/>
                <w:szCs w:val="18"/>
                <w:lang w:val="en-US"/>
              </w:rPr>
            </w:pPr>
            <w:r w:rsidRPr="00E36734">
              <w:rPr>
                <w:rFonts w:eastAsia="Microsoft JhengHei UI" w:cstheme="minorHAnsi"/>
                <w:color w:val="000000"/>
                <w:kern w:val="24"/>
                <w:sz w:val="18"/>
                <w:szCs w:val="18"/>
              </w:rPr>
              <w:t>αμετάβλητη</w:t>
            </w:r>
          </w:p>
        </w:tc>
        <w:tc>
          <w:tcPr>
            <w:tcW w:w="2185" w:type="dxa"/>
            <w:shd w:val="clear" w:color="auto" w:fill="auto"/>
            <w:tcMar>
              <w:top w:w="12" w:type="dxa"/>
              <w:left w:w="12" w:type="dxa"/>
              <w:bottom w:w="0" w:type="dxa"/>
              <w:right w:w="12" w:type="dxa"/>
            </w:tcMar>
            <w:vAlign w:val="center"/>
            <w:hideMark/>
          </w:tcPr>
          <w:p w14:paraId="357A20E8" w14:textId="77777777" w:rsidR="00425E4A" w:rsidRPr="00E36734" w:rsidRDefault="00425E4A" w:rsidP="00425E4A">
            <w:pPr>
              <w:spacing w:after="0" w:line="240" w:lineRule="auto"/>
              <w:jc w:val="center"/>
              <w:textAlignment w:val="center"/>
              <w:rPr>
                <w:rFonts w:eastAsia="Times New Roman" w:cstheme="minorHAnsi"/>
                <w:sz w:val="18"/>
                <w:szCs w:val="18"/>
                <w:lang w:val="en-US"/>
              </w:rPr>
            </w:pPr>
            <w:r w:rsidRPr="00E36734">
              <w:rPr>
                <w:rFonts w:eastAsia="Microsoft JhengHei UI" w:cstheme="minorHAnsi"/>
                <w:color w:val="000000"/>
                <w:kern w:val="24"/>
                <w:sz w:val="18"/>
                <w:szCs w:val="18"/>
                <w:lang w:val="en-US"/>
              </w:rPr>
              <w:t>7.3</w:t>
            </w:r>
          </w:p>
        </w:tc>
        <w:tc>
          <w:tcPr>
            <w:tcW w:w="2064" w:type="dxa"/>
            <w:shd w:val="clear" w:color="auto" w:fill="auto"/>
            <w:tcMar>
              <w:top w:w="12" w:type="dxa"/>
              <w:left w:w="12" w:type="dxa"/>
              <w:bottom w:w="0" w:type="dxa"/>
              <w:right w:w="12" w:type="dxa"/>
            </w:tcMar>
            <w:vAlign w:val="center"/>
            <w:hideMark/>
          </w:tcPr>
          <w:p w14:paraId="294D2851" w14:textId="77777777" w:rsidR="00425E4A" w:rsidRPr="00E36734" w:rsidRDefault="00425E4A" w:rsidP="00425E4A">
            <w:pPr>
              <w:spacing w:after="0" w:line="240" w:lineRule="auto"/>
              <w:jc w:val="center"/>
              <w:textAlignment w:val="center"/>
              <w:rPr>
                <w:rFonts w:eastAsia="Times New Roman" w:cstheme="minorHAnsi"/>
                <w:sz w:val="18"/>
                <w:szCs w:val="18"/>
                <w:lang w:val="en-US"/>
              </w:rPr>
            </w:pPr>
            <w:r w:rsidRPr="00E36734">
              <w:rPr>
                <w:rFonts w:eastAsia="Microsoft JhengHei UI" w:cstheme="minorHAnsi"/>
                <w:color w:val="000000"/>
                <w:kern w:val="24"/>
                <w:sz w:val="18"/>
                <w:szCs w:val="18"/>
                <w:lang w:val="en-US"/>
              </w:rPr>
              <w:t>14.7</w:t>
            </w:r>
          </w:p>
        </w:tc>
        <w:tc>
          <w:tcPr>
            <w:tcW w:w="2164" w:type="dxa"/>
            <w:shd w:val="clear" w:color="auto" w:fill="auto"/>
            <w:tcMar>
              <w:top w:w="12" w:type="dxa"/>
              <w:left w:w="12" w:type="dxa"/>
              <w:bottom w:w="0" w:type="dxa"/>
              <w:right w:w="12" w:type="dxa"/>
            </w:tcMar>
            <w:vAlign w:val="center"/>
            <w:hideMark/>
          </w:tcPr>
          <w:p w14:paraId="10108292" w14:textId="77777777" w:rsidR="00425E4A" w:rsidRPr="00E36734" w:rsidRDefault="00425E4A" w:rsidP="00425E4A">
            <w:pPr>
              <w:spacing w:after="0" w:line="240" w:lineRule="auto"/>
              <w:jc w:val="center"/>
              <w:textAlignment w:val="center"/>
              <w:rPr>
                <w:rFonts w:eastAsia="Times New Roman" w:cstheme="minorHAnsi"/>
                <w:sz w:val="18"/>
                <w:szCs w:val="18"/>
                <w:lang w:val="en-US"/>
              </w:rPr>
            </w:pPr>
            <w:r w:rsidRPr="00E36734">
              <w:rPr>
                <w:rFonts w:eastAsia="Microsoft JhengHei UI" w:cstheme="minorHAnsi"/>
                <w:color w:val="000000"/>
                <w:kern w:val="24"/>
                <w:sz w:val="18"/>
                <w:szCs w:val="18"/>
                <w:lang w:val="en-US"/>
              </w:rPr>
              <w:t>31.1</w:t>
            </w:r>
          </w:p>
        </w:tc>
        <w:tc>
          <w:tcPr>
            <w:tcW w:w="2150" w:type="dxa"/>
            <w:shd w:val="clear" w:color="auto" w:fill="auto"/>
            <w:vAlign w:val="center"/>
          </w:tcPr>
          <w:p w14:paraId="19CDB01A" w14:textId="1C40C6E5" w:rsidR="00425E4A" w:rsidRPr="00E36734" w:rsidRDefault="00B35AC3" w:rsidP="00425E4A">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4.4</w:t>
            </w:r>
          </w:p>
        </w:tc>
      </w:tr>
      <w:tr w:rsidR="00425E4A" w:rsidRPr="00E36734" w14:paraId="47204653" w14:textId="02E98986" w:rsidTr="00E55E93">
        <w:trPr>
          <w:trHeight w:val="458"/>
        </w:trPr>
        <w:tc>
          <w:tcPr>
            <w:tcW w:w="1809" w:type="dxa"/>
            <w:shd w:val="clear" w:color="auto" w:fill="auto"/>
            <w:tcMar>
              <w:top w:w="12" w:type="dxa"/>
              <w:left w:w="12" w:type="dxa"/>
              <w:bottom w:w="0" w:type="dxa"/>
              <w:right w:w="12" w:type="dxa"/>
            </w:tcMar>
            <w:vAlign w:val="center"/>
            <w:hideMark/>
          </w:tcPr>
          <w:p w14:paraId="65057F33" w14:textId="77777777" w:rsidR="00425E4A" w:rsidRPr="00E36734" w:rsidRDefault="00425E4A" w:rsidP="00425E4A">
            <w:pPr>
              <w:spacing w:after="0" w:line="240" w:lineRule="auto"/>
              <w:jc w:val="center"/>
              <w:textAlignment w:val="bottom"/>
              <w:rPr>
                <w:rFonts w:eastAsia="Times New Roman" w:cstheme="minorHAnsi"/>
                <w:sz w:val="18"/>
                <w:szCs w:val="18"/>
                <w:lang w:val="en-US"/>
              </w:rPr>
            </w:pPr>
            <w:r w:rsidRPr="00E36734">
              <w:rPr>
                <w:rFonts w:eastAsia="Microsoft JhengHei UI" w:cstheme="minorHAnsi"/>
                <w:color w:val="000000"/>
                <w:kern w:val="24"/>
                <w:sz w:val="18"/>
                <w:szCs w:val="18"/>
              </w:rPr>
              <w:t>Δ.Α</w:t>
            </w:r>
          </w:p>
        </w:tc>
        <w:tc>
          <w:tcPr>
            <w:tcW w:w="2185" w:type="dxa"/>
            <w:shd w:val="clear" w:color="auto" w:fill="auto"/>
            <w:tcMar>
              <w:top w:w="12" w:type="dxa"/>
              <w:left w:w="12" w:type="dxa"/>
              <w:bottom w:w="0" w:type="dxa"/>
              <w:right w:w="12" w:type="dxa"/>
            </w:tcMar>
            <w:vAlign w:val="center"/>
            <w:hideMark/>
          </w:tcPr>
          <w:p w14:paraId="1EEDAEA2" w14:textId="77777777" w:rsidR="00425E4A" w:rsidRPr="00E36734" w:rsidRDefault="00425E4A" w:rsidP="00425E4A">
            <w:pPr>
              <w:spacing w:after="0" w:line="240" w:lineRule="auto"/>
              <w:jc w:val="center"/>
              <w:textAlignment w:val="center"/>
              <w:rPr>
                <w:rFonts w:eastAsia="Times New Roman" w:cstheme="minorHAnsi"/>
                <w:sz w:val="18"/>
                <w:szCs w:val="18"/>
                <w:lang w:val="en-US"/>
              </w:rPr>
            </w:pPr>
            <w:r w:rsidRPr="00E36734">
              <w:rPr>
                <w:rFonts w:eastAsia="Microsoft JhengHei UI" w:cstheme="minorHAnsi"/>
                <w:color w:val="000000"/>
                <w:kern w:val="24"/>
                <w:sz w:val="18"/>
                <w:szCs w:val="18"/>
                <w:lang w:val="en-US"/>
              </w:rPr>
              <w:t>0.5</w:t>
            </w:r>
          </w:p>
        </w:tc>
        <w:tc>
          <w:tcPr>
            <w:tcW w:w="2064" w:type="dxa"/>
            <w:shd w:val="clear" w:color="auto" w:fill="auto"/>
            <w:tcMar>
              <w:top w:w="12" w:type="dxa"/>
              <w:left w:w="12" w:type="dxa"/>
              <w:bottom w:w="0" w:type="dxa"/>
              <w:right w:w="12" w:type="dxa"/>
            </w:tcMar>
            <w:vAlign w:val="center"/>
            <w:hideMark/>
          </w:tcPr>
          <w:p w14:paraId="1F512DEF" w14:textId="77777777" w:rsidR="00425E4A" w:rsidRPr="00E36734" w:rsidRDefault="00425E4A" w:rsidP="00425E4A">
            <w:pPr>
              <w:spacing w:after="0" w:line="240" w:lineRule="auto"/>
              <w:jc w:val="center"/>
              <w:textAlignment w:val="center"/>
              <w:rPr>
                <w:rFonts w:eastAsia="Times New Roman" w:cstheme="minorHAnsi"/>
                <w:sz w:val="18"/>
                <w:szCs w:val="18"/>
                <w:lang w:val="en-US"/>
              </w:rPr>
            </w:pPr>
            <w:r w:rsidRPr="00E36734">
              <w:rPr>
                <w:rFonts w:eastAsia="Microsoft JhengHei UI" w:cstheme="minorHAnsi"/>
                <w:color w:val="000000"/>
                <w:kern w:val="24"/>
                <w:sz w:val="18"/>
                <w:szCs w:val="18"/>
                <w:lang w:val="en-US"/>
              </w:rPr>
              <w:t>0.9</w:t>
            </w:r>
          </w:p>
        </w:tc>
        <w:tc>
          <w:tcPr>
            <w:tcW w:w="2164" w:type="dxa"/>
            <w:shd w:val="clear" w:color="auto" w:fill="auto"/>
            <w:tcMar>
              <w:top w:w="12" w:type="dxa"/>
              <w:left w:w="12" w:type="dxa"/>
              <w:bottom w:w="0" w:type="dxa"/>
              <w:right w:w="12" w:type="dxa"/>
            </w:tcMar>
            <w:vAlign w:val="center"/>
            <w:hideMark/>
          </w:tcPr>
          <w:p w14:paraId="085BDC54" w14:textId="77777777" w:rsidR="00425E4A" w:rsidRPr="00E36734" w:rsidRDefault="00425E4A" w:rsidP="00425E4A">
            <w:pPr>
              <w:spacing w:after="0" w:line="240" w:lineRule="auto"/>
              <w:jc w:val="center"/>
              <w:textAlignment w:val="center"/>
              <w:rPr>
                <w:rFonts w:eastAsia="Times New Roman" w:cstheme="minorHAnsi"/>
                <w:sz w:val="18"/>
                <w:szCs w:val="18"/>
                <w:lang w:val="en-US"/>
              </w:rPr>
            </w:pPr>
            <w:r w:rsidRPr="00E36734">
              <w:rPr>
                <w:rFonts w:eastAsia="Microsoft JhengHei UI" w:cstheme="minorHAnsi"/>
                <w:color w:val="000000"/>
                <w:kern w:val="24"/>
                <w:sz w:val="18"/>
                <w:szCs w:val="18"/>
                <w:lang w:val="en-US"/>
              </w:rPr>
              <w:t>0.5</w:t>
            </w:r>
          </w:p>
        </w:tc>
        <w:tc>
          <w:tcPr>
            <w:tcW w:w="2150" w:type="dxa"/>
            <w:shd w:val="clear" w:color="auto" w:fill="auto"/>
            <w:vAlign w:val="center"/>
          </w:tcPr>
          <w:p w14:paraId="544D965F" w14:textId="3112F956" w:rsidR="00425E4A" w:rsidRPr="00E36734" w:rsidRDefault="00B35AC3" w:rsidP="00425E4A">
            <w:pPr>
              <w:spacing w:after="0" w:line="240" w:lineRule="auto"/>
              <w:jc w:val="center"/>
              <w:textAlignment w:val="center"/>
              <w:rPr>
                <w:rFonts w:eastAsia="Microsoft JhengHei UI" w:cstheme="minorHAnsi"/>
                <w:color w:val="000000"/>
                <w:kern w:val="24"/>
                <w:sz w:val="18"/>
                <w:szCs w:val="18"/>
                <w:lang w:val="en-US"/>
              </w:rPr>
            </w:pPr>
            <w:r w:rsidRPr="00E36734">
              <w:rPr>
                <w:rFonts w:eastAsia="Microsoft JhengHei UI" w:cstheme="minorHAnsi"/>
                <w:color w:val="000000"/>
                <w:kern w:val="24"/>
                <w:sz w:val="18"/>
                <w:szCs w:val="18"/>
              </w:rPr>
              <w:t>1</w:t>
            </w:r>
            <w:r w:rsidR="00425E4A" w:rsidRPr="00E36734">
              <w:rPr>
                <w:rFonts w:eastAsia="Microsoft JhengHei UI" w:cstheme="minorHAnsi"/>
                <w:color w:val="000000"/>
                <w:kern w:val="24"/>
                <w:sz w:val="18"/>
                <w:szCs w:val="18"/>
                <w:lang w:val="en-US"/>
              </w:rPr>
              <w:t>.5</w:t>
            </w:r>
          </w:p>
        </w:tc>
      </w:tr>
      <w:bookmarkEnd w:id="15"/>
    </w:tbl>
    <w:p w14:paraId="7EBD5AA2" w14:textId="77777777" w:rsidR="00425E4A" w:rsidRPr="00E36734" w:rsidRDefault="00425E4A" w:rsidP="00761263">
      <w:pPr>
        <w:spacing w:after="0" w:line="360" w:lineRule="auto"/>
        <w:jc w:val="both"/>
        <w:rPr>
          <w:rFonts w:ascii="Times New Roman" w:hAnsi="Times New Roman" w:cs="Times New Roman"/>
          <w:sz w:val="24"/>
          <w:szCs w:val="24"/>
        </w:rPr>
      </w:pPr>
    </w:p>
    <w:p w14:paraId="72CBB0A4" w14:textId="7828F31D" w:rsidR="00425E4A" w:rsidRPr="00E36734" w:rsidRDefault="003C733C" w:rsidP="00761263">
      <w:pPr>
        <w:spacing w:after="0" w:line="360" w:lineRule="auto"/>
        <w:jc w:val="both"/>
        <w:rPr>
          <w:rFonts w:ascii="Times New Roman" w:hAnsi="Times New Roman" w:cs="Times New Roman"/>
          <w:sz w:val="24"/>
          <w:szCs w:val="24"/>
        </w:rPr>
      </w:pPr>
      <w:r w:rsidRPr="00E36734">
        <w:rPr>
          <w:rFonts w:ascii="Times New Roman" w:hAnsi="Times New Roman" w:cs="Times New Roman"/>
          <w:sz w:val="24"/>
          <w:szCs w:val="24"/>
        </w:rPr>
        <w:lastRenderedPageBreak/>
        <w:t xml:space="preserve">Η μειωμένη ρευστότητα των επιχειρήσεων φαίνεται και από την </w:t>
      </w:r>
      <w:r w:rsidR="001765DA" w:rsidRPr="00E36734">
        <w:rPr>
          <w:rFonts w:ascii="Times New Roman" w:hAnsi="Times New Roman" w:cs="Times New Roman"/>
          <w:sz w:val="24"/>
          <w:szCs w:val="24"/>
        </w:rPr>
        <w:t>επιδείνωση</w:t>
      </w:r>
      <w:r w:rsidRPr="00E36734">
        <w:rPr>
          <w:rFonts w:ascii="Times New Roman" w:hAnsi="Times New Roman" w:cs="Times New Roman"/>
          <w:sz w:val="24"/>
          <w:szCs w:val="24"/>
        </w:rPr>
        <w:t xml:space="preserve"> που </w:t>
      </w:r>
      <w:r w:rsidR="001765DA" w:rsidRPr="00E36734">
        <w:rPr>
          <w:rFonts w:ascii="Times New Roman" w:hAnsi="Times New Roman" w:cs="Times New Roman"/>
          <w:sz w:val="24"/>
          <w:szCs w:val="24"/>
        </w:rPr>
        <w:t>καταγράφεται</w:t>
      </w:r>
      <w:r w:rsidRPr="00E36734">
        <w:rPr>
          <w:rFonts w:ascii="Times New Roman" w:hAnsi="Times New Roman" w:cs="Times New Roman"/>
          <w:sz w:val="24"/>
          <w:szCs w:val="24"/>
        </w:rPr>
        <w:t xml:space="preserve"> στα ταμειακά διαθέσιμα τους σε σχέση με το Α εξάμηνο του 2020</w:t>
      </w:r>
      <w:r w:rsidR="001765DA" w:rsidRPr="00E36734">
        <w:rPr>
          <w:rFonts w:ascii="Times New Roman" w:hAnsi="Times New Roman" w:cs="Times New Roman"/>
          <w:sz w:val="24"/>
          <w:szCs w:val="24"/>
        </w:rPr>
        <w:t>. Όπως φαίνεται στο Γράφημα</w:t>
      </w:r>
      <w:r w:rsidR="006D0D98" w:rsidRPr="00E36734">
        <w:rPr>
          <w:rFonts w:ascii="Times New Roman" w:hAnsi="Times New Roman" w:cs="Times New Roman"/>
          <w:sz w:val="24"/>
          <w:szCs w:val="24"/>
        </w:rPr>
        <w:t xml:space="preserve"> </w:t>
      </w:r>
      <w:r w:rsidR="00982B33" w:rsidRPr="00E36734">
        <w:rPr>
          <w:rFonts w:ascii="Times New Roman" w:hAnsi="Times New Roman" w:cs="Times New Roman"/>
          <w:sz w:val="24"/>
          <w:szCs w:val="24"/>
        </w:rPr>
        <w:t>10</w:t>
      </w:r>
      <w:r w:rsidR="001765DA" w:rsidRPr="00E36734">
        <w:rPr>
          <w:rFonts w:ascii="Times New Roman" w:hAnsi="Times New Roman" w:cs="Times New Roman"/>
          <w:sz w:val="24"/>
          <w:szCs w:val="24"/>
        </w:rPr>
        <w:t xml:space="preserve"> </w:t>
      </w:r>
      <w:bookmarkStart w:id="16" w:name="_Hlk68075090"/>
      <w:r w:rsidR="001765DA" w:rsidRPr="00E36734">
        <w:rPr>
          <w:rFonts w:ascii="Times New Roman" w:hAnsi="Times New Roman" w:cs="Times New Roman"/>
          <w:sz w:val="24"/>
          <w:szCs w:val="24"/>
        </w:rPr>
        <w:t xml:space="preserve">οι επιχειρήσεις που δεν έχουν καθόλου ταμειακά διαθέσιμα έχουν αυξηθεί κατά 10 ποσοστιαίες μονάδες, ενώ η </w:t>
      </w:r>
      <w:r w:rsidR="00352F49" w:rsidRPr="00E36734">
        <w:rPr>
          <w:rFonts w:ascii="Times New Roman" w:hAnsi="Times New Roman" w:cs="Times New Roman"/>
          <w:sz w:val="24"/>
          <w:szCs w:val="24"/>
        </w:rPr>
        <w:t>μείωση</w:t>
      </w:r>
      <w:r w:rsidR="001765DA" w:rsidRPr="00E36734">
        <w:rPr>
          <w:rFonts w:ascii="Times New Roman" w:hAnsi="Times New Roman" w:cs="Times New Roman"/>
          <w:sz w:val="24"/>
          <w:szCs w:val="24"/>
        </w:rPr>
        <w:t xml:space="preserve"> της ρευστότητας των μικρών και πολύ μικρών επιχειρήσεων φαίνεται και από </w:t>
      </w:r>
      <w:r w:rsidR="0024078D" w:rsidRPr="00E36734">
        <w:rPr>
          <w:rFonts w:ascii="Times New Roman" w:hAnsi="Times New Roman" w:cs="Times New Roman"/>
          <w:sz w:val="24"/>
          <w:szCs w:val="24"/>
        </w:rPr>
        <w:t>τη σύγκριση των υπόλοιπων κατηγοριών</w:t>
      </w:r>
      <w:r w:rsidR="001765DA" w:rsidRPr="00E36734">
        <w:rPr>
          <w:rFonts w:ascii="Times New Roman" w:hAnsi="Times New Roman" w:cs="Times New Roman"/>
          <w:sz w:val="24"/>
          <w:szCs w:val="24"/>
        </w:rPr>
        <w:t xml:space="preserve">. </w:t>
      </w:r>
      <w:r w:rsidR="00352F49" w:rsidRPr="00E36734">
        <w:rPr>
          <w:rFonts w:ascii="Times New Roman" w:hAnsi="Times New Roman" w:cs="Times New Roman"/>
          <w:sz w:val="24"/>
          <w:szCs w:val="24"/>
        </w:rPr>
        <w:t>Συγκεκριμένα</w:t>
      </w:r>
      <w:r w:rsidR="001765DA" w:rsidRPr="00E36734">
        <w:rPr>
          <w:rFonts w:ascii="Times New Roman" w:hAnsi="Times New Roman" w:cs="Times New Roman"/>
          <w:sz w:val="24"/>
          <w:szCs w:val="24"/>
        </w:rPr>
        <w:t xml:space="preserve"> σχεδόν 1 στις 4 επιχειρήσεις δεν έχει καθόλου </w:t>
      </w:r>
      <w:r w:rsidR="00352F49" w:rsidRPr="00E36734">
        <w:rPr>
          <w:rFonts w:ascii="Times New Roman" w:hAnsi="Times New Roman" w:cs="Times New Roman"/>
          <w:sz w:val="24"/>
          <w:szCs w:val="24"/>
        </w:rPr>
        <w:t>ταμειακά</w:t>
      </w:r>
      <w:r w:rsidR="001765DA" w:rsidRPr="00E36734">
        <w:rPr>
          <w:rFonts w:ascii="Times New Roman" w:hAnsi="Times New Roman" w:cs="Times New Roman"/>
          <w:sz w:val="24"/>
          <w:szCs w:val="24"/>
        </w:rPr>
        <w:t xml:space="preserve"> διαθέσιμα</w:t>
      </w:r>
      <w:r w:rsidR="00352F49" w:rsidRPr="00E36734">
        <w:rPr>
          <w:rFonts w:ascii="Times New Roman" w:hAnsi="Times New Roman" w:cs="Times New Roman"/>
          <w:sz w:val="24"/>
          <w:szCs w:val="24"/>
        </w:rPr>
        <w:t xml:space="preserve">, ενώ για επίσης 1 στις 4 επιχειρήσεις τα ταμειακά διαθέσιμα δεν επαρκούν για περισσότερο από ένα μήνα. Με άλλα λόγια η 1 στις 2 μικρές και πολύ μικρές επιχειρήσεις έχουν ταμειακά διαθέσιμα </w:t>
      </w:r>
      <w:r w:rsidR="006D0D98" w:rsidRPr="00E36734">
        <w:rPr>
          <w:rFonts w:ascii="Times New Roman" w:hAnsi="Times New Roman" w:cs="Times New Roman"/>
          <w:sz w:val="24"/>
          <w:szCs w:val="24"/>
        </w:rPr>
        <w:t>το πολύ για</w:t>
      </w:r>
      <w:r w:rsidR="00352F49" w:rsidRPr="00E36734">
        <w:rPr>
          <w:rFonts w:ascii="Times New Roman" w:hAnsi="Times New Roman" w:cs="Times New Roman"/>
          <w:sz w:val="24"/>
          <w:szCs w:val="24"/>
        </w:rPr>
        <w:t xml:space="preserve"> ένα μήνα</w:t>
      </w:r>
      <w:bookmarkEnd w:id="16"/>
      <w:r w:rsidR="00352F49" w:rsidRPr="00E36734">
        <w:rPr>
          <w:rFonts w:ascii="Times New Roman" w:hAnsi="Times New Roman" w:cs="Times New Roman"/>
          <w:sz w:val="24"/>
          <w:szCs w:val="24"/>
        </w:rPr>
        <w:t>. Από τα επιμέρους στοιχεία της ερευνάς φαίνεται ότι σε χειρότερη κατάσταση βρίσκονται οι υπηρεσίες</w:t>
      </w:r>
      <w:r w:rsidR="008C7281" w:rsidRPr="00E36734">
        <w:rPr>
          <w:rFonts w:ascii="Times New Roman" w:hAnsi="Times New Roman" w:cs="Times New Roman"/>
          <w:sz w:val="24"/>
          <w:szCs w:val="24"/>
        </w:rPr>
        <w:t xml:space="preserve"> (28% χωρίς ταμειακά διαθέσιμα)</w:t>
      </w:r>
      <w:r w:rsidR="00352F49" w:rsidRPr="00E36734">
        <w:rPr>
          <w:rFonts w:ascii="Times New Roman" w:hAnsi="Times New Roman" w:cs="Times New Roman"/>
          <w:sz w:val="24"/>
          <w:szCs w:val="24"/>
        </w:rPr>
        <w:t xml:space="preserve"> και οι επιχειρήσεις με ετήσιο τζίρο κάτω από 50.000 €</w:t>
      </w:r>
      <w:r w:rsidR="008C7281" w:rsidRPr="00E36734">
        <w:rPr>
          <w:rFonts w:ascii="Times New Roman" w:hAnsi="Times New Roman" w:cs="Times New Roman"/>
          <w:sz w:val="24"/>
          <w:szCs w:val="24"/>
        </w:rPr>
        <w:t xml:space="preserve"> (32,5% χωρίς ταμειακά διαθέσιμα)</w:t>
      </w:r>
      <w:r w:rsidR="00352F49" w:rsidRPr="00E36734">
        <w:rPr>
          <w:rFonts w:ascii="Times New Roman" w:hAnsi="Times New Roman" w:cs="Times New Roman"/>
          <w:sz w:val="24"/>
          <w:szCs w:val="24"/>
        </w:rPr>
        <w:t>.</w:t>
      </w:r>
    </w:p>
    <w:p w14:paraId="125E7D0C" w14:textId="64432C56" w:rsidR="001765DA" w:rsidRPr="00E36734" w:rsidRDefault="001765DA" w:rsidP="00761263">
      <w:pPr>
        <w:spacing w:after="0" w:line="360" w:lineRule="auto"/>
        <w:jc w:val="both"/>
        <w:rPr>
          <w:rFonts w:ascii="Times New Roman" w:hAnsi="Times New Roman" w:cs="Times New Roman"/>
          <w:sz w:val="24"/>
          <w:szCs w:val="24"/>
        </w:rPr>
      </w:pPr>
    </w:p>
    <w:p w14:paraId="67920551" w14:textId="58DEFB23" w:rsidR="001765DA" w:rsidRPr="00E36734" w:rsidRDefault="001765DA" w:rsidP="001765DA">
      <w:pPr>
        <w:spacing w:after="0" w:line="360" w:lineRule="auto"/>
        <w:jc w:val="center"/>
        <w:rPr>
          <w:rFonts w:ascii="Times New Roman" w:hAnsi="Times New Roman" w:cs="Times New Roman"/>
          <w:b/>
          <w:bCs/>
          <w:sz w:val="24"/>
          <w:szCs w:val="24"/>
        </w:rPr>
      </w:pPr>
      <w:r w:rsidRPr="00E36734">
        <w:rPr>
          <w:rFonts w:ascii="Times New Roman" w:hAnsi="Times New Roman" w:cs="Times New Roman"/>
          <w:b/>
          <w:bCs/>
          <w:sz w:val="24"/>
          <w:szCs w:val="24"/>
        </w:rPr>
        <w:t>Γράφημα</w:t>
      </w:r>
      <w:r w:rsidR="006D0D98" w:rsidRPr="00E36734">
        <w:rPr>
          <w:rFonts w:ascii="Times New Roman" w:hAnsi="Times New Roman" w:cs="Times New Roman"/>
          <w:b/>
          <w:bCs/>
          <w:sz w:val="24"/>
          <w:szCs w:val="24"/>
        </w:rPr>
        <w:t xml:space="preserve"> </w:t>
      </w:r>
      <w:r w:rsidR="00982B33" w:rsidRPr="00E36734">
        <w:rPr>
          <w:rFonts w:ascii="Times New Roman" w:hAnsi="Times New Roman" w:cs="Times New Roman"/>
          <w:b/>
          <w:bCs/>
          <w:sz w:val="24"/>
          <w:szCs w:val="24"/>
        </w:rPr>
        <w:t>10</w:t>
      </w:r>
    </w:p>
    <w:p w14:paraId="0008C3F3" w14:textId="09464357" w:rsidR="001765DA" w:rsidRPr="00E36734" w:rsidRDefault="001765DA" w:rsidP="001765DA">
      <w:pPr>
        <w:spacing w:after="0" w:line="360" w:lineRule="auto"/>
        <w:jc w:val="center"/>
        <w:rPr>
          <w:rFonts w:ascii="Times New Roman" w:hAnsi="Times New Roman" w:cs="Times New Roman"/>
          <w:b/>
          <w:bCs/>
          <w:sz w:val="24"/>
          <w:szCs w:val="24"/>
        </w:rPr>
      </w:pPr>
      <w:bookmarkStart w:id="17" w:name="_Hlk68075005"/>
      <w:r w:rsidRPr="00E36734">
        <w:rPr>
          <w:rFonts w:ascii="Times New Roman" w:hAnsi="Times New Roman" w:cs="Times New Roman"/>
          <w:b/>
          <w:bCs/>
          <w:sz w:val="24"/>
          <w:szCs w:val="24"/>
        </w:rPr>
        <w:t xml:space="preserve">Τα ταμειακά διαθέσιμα (η ρευστότητα της επιχείρησης) για πόσο καιρό επαρκούν </w:t>
      </w:r>
      <w:r w:rsidRPr="00E36734">
        <w:rPr>
          <w:rFonts w:ascii="Times New Roman" w:hAnsi="Times New Roman" w:cs="Times New Roman"/>
          <w:b/>
          <w:bCs/>
          <w:sz w:val="24"/>
          <w:szCs w:val="24"/>
        </w:rPr>
        <w:br/>
        <w:t>για να καλύψουν τις βασικές υποχρεώσεις της επιχείρησης;</w:t>
      </w:r>
    </w:p>
    <w:bookmarkEnd w:id="17"/>
    <w:p w14:paraId="42C510EF" w14:textId="2A978C04" w:rsidR="000948E7" w:rsidRPr="00E36734" w:rsidRDefault="003C733C" w:rsidP="000948E7">
      <w:pPr>
        <w:spacing w:after="0" w:line="360" w:lineRule="auto"/>
        <w:jc w:val="center"/>
        <w:rPr>
          <w:rFonts w:ascii="Times New Roman" w:eastAsiaTheme="majorEastAsia" w:hAnsi="Times New Roman" w:cs="Times New Roman"/>
          <w:b/>
          <w:color w:val="000000" w:themeColor="text1"/>
          <w:sz w:val="24"/>
          <w:szCs w:val="24"/>
        </w:rPr>
      </w:pPr>
      <w:r w:rsidRPr="00E36734">
        <w:rPr>
          <w:rFonts w:ascii="Times New Roman" w:eastAsiaTheme="majorEastAsia" w:hAnsi="Times New Roman" w:cs="Times New Roman"/>
          <w:b/>
          <w:noProof/>
          <w:color w:val="000000" w:themeColor="text1"/>
          <w:sz w:val="24"/>
          <w:szCs w:val="24"/>
          <w:lang w:eastAsia="el-GR"/>
        </w:rPr>
        <w:drawing>
          <wp:inline distT="0" distB="0" distL="0" distR="0" wp14:anchorId="12E348C7" wp14:editId="46A0CD32">
            <wp:extent cx="6570980" cy="3094990"/>
            <wp:effectExtent l="0" t="0" r="1270" b="10160"/>
            <wp:docPr id="6" name="Γράφημα 6">
              <a:extLst xmlns:a="http://schemas.openxmlformats.org/drawingml/2006/main">
                <a:ext uri="{FF2B5EF4-FFF2-40B4-BE49-F238E27FC236}">
                  <a16:creationId xmlns:a16="http://schemas.microsoft.com/office/drawing/2014/main" id="{CD2B5132-1EA9-4FAD-879F-3794F2E05B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9E0AF77" w14:textId="175E9096" w:rsidR="008C7281" w:rsidRPr="00E36734" w:rsidRDefault="001A4A72" w:rsidP="000948E7">
      <w:pPr>
        <w:spacing w:after="0" w:line="360" w:lineRule="auto"/>
        <w:jc w:val="both"/>
        <w:rPr>
          <w:rFonts w:ascii="Times New Roman" w:eastAsia="Times New Roman" w:hAnsi="Times New Roman" w:cs="Times New Roman"/>
          <w:color w:val="222222"/>
          <w:sz w:val="24"/>
          <w:szCs w:val="24"/>
          <w:lang w:eastAsia="el-GR"/>
        </w:rPr>
      </w:pPr>
      <w:bookmarkStart w:id="18" w:name="_Hlk68246256"/>
      <w:r w:rsidRPr="00E36734">
        <w:rPr>
          <w:rFonts w:ascii="Times New Roman" w:eastAsia="Times New Roman" w:hAnsi="Times New Roman" w:cs="Times New Roman"/>
          <w:color w:val="222222"/>
          <w:sz w:val="24"/>
          <w:szCs w:val="24"/>
          <w:lang w:eastAsia="el-GR"/>
        </w:rPr>
        <w:t xml:space="preserve">Δυσμενέστερη είναι η εικόνα </w:t>
      </w:r>
      <w:r w:rsidR="006D0D98" w:rsidRPr="00E36734">
        <w:rPr>
          <w:rFonts w:ascii="Times New Roman" w:eastAsia="Times New Roman" w:hAnsi="Times New Roman" w:cs="Times New Roman"/>
          <w:color w:val="222222"/>
          <w:sz w:val="24"/>
          <w:szCs w:val="24"/>
          <w:lang w:eastAsia="el-GR"/>
        </w:rPr>
        <w:t>όσον</w:t>
      </w:r>
      <w:r w:rsidRPr="00E36734">
        <w:rPr>
          <w:rFonts w:ascii="Times New Roman" w:eastAsia="Times New Roman" w:hAnsi="Times New Roman" w:cs="Times New Roman"/>
          <w:color w:val="222222"/>
          <w:sz w:val="24"/>
          <w:szCs w:val="24"/>
          <w:lang w:eastAsia="el-GR"/>
        </w:rPr>
        <w:t xml:space="preserve"> αφορά τα ταμειακά διαθέσιμα το επιχειρήσεων που ανέστειλαν την λειτουργία τους με κρατική εντολή και ιδίως των επιχειρήσεων εστίασης. Όπως φαίνεται στον Πίνακα</w:t>
      </w:r>
      <w:r w:rsidR="006D0D98" w:rsidRPr="00E36734">
        <w:rPr>
          <w:rFonts w:ascii="Times New Roman" w:eastAsia="Times New Roman" w:hAnsi="Times New Roman" w:cs="Times New Roman"/>
          <w:color w:val="222222"/>
          <w:sz w:val="24"/>
          <w:szCs w:val="24"/>
          <w:lang w:eastAsia="el-GR"/>
        </w:rPr>
        <w:t xml:space="preserve"> 5</w:t>
      </w:r>
      <w:r w:rsidRPr="00E36734">
        <w:rPr>
          <w:rFonts w:ascii="Times New Roman" w:eastAsia="Times New Roman" w:hAnsi="Times New Roman" w:cs="Times New Roman"/>
          <w:color w:val="222222"/>
          <w:sz w:val="24"/>
          <w:szCs w:val="24"/>
          <w:lang w:eastAsia="el-GR"/>
        </w:rPr>
        <w:t xml:space="preserve"> το 36,1% των επιχειρήσεων που ανέστειλαν την λειτουργία τους δεν έχουν καθόλου ρευστότητα, ενώ για το 22,5% τα ταμειακά διαθέσιμα επαρκούν το πολύ για ένα μήνα. Χειρότερη φαίνεται πως είναι η κατάσταση για τις επιχειρήσεις εστίασης καθώς το 44,1% δεν έχει καθόλου ταμειακά διαθέσιμα</w:t>
      </w:r>
      <w:r w:rsidR="006D0D98" w:rsidRPr="00E36734">
        <w:rPr>
          <w:rFonts w:ascii="Times New Roman" w:eastAsia="Times New Roman" w:hAnsi="Times New Roman" w:cs="Times New Roman"/>
          <w:color w:val="222222"/>
          <w:sz w:val="24"/>
          <w:szCs w:val="24"/>
          <w:lang w:eastAsia="el-GR"/>
        </w:rPr>
        <w:t>,</w:t>
      </w:r>
      <w:r w:rsidRPr="00E36734">
        <w:rPr>
          <w:rFonts w:ascii="Times New Roman" w:eastAsia="Times New Roman" w:hAnsi="Times New Roman" w:cs="Times New Roman"/>
          <w:color w:val="222222"/>
          <w:sz w:val="24"/>
          <w:szCs w:val="24"/>
          <w:lang w:eastAsia="el-GR"/>
        </w:rPr>
        <w:t xml:space="preserve"> ενώ για το 19,2% επαρκούν το πολύ για ένα μήνα. </w:t>
      </w:r>
    </w:p>
    <w:bookmarkEnd w:id="18"/>
    <w:p w14:paraId="18D47D5C" w14:textId="77777777" w:rsidR="008C7281" w:rsidRPr="00E36734" w:rsidRDefault="008C7281" w:rsidP="000948E7">
      <w:pPr>
        <w:spacing w:after="0" w:line="360" w:lineRule="auto"/>
        <w:jc w:val="both"/>
        <w:rPr>
          <w:rFonts w:ascii="Times New Roman" w:eastAsia="Times New Roman" w:hAnsi="Times New Roman" w:cs="Times New Roman"/>
          <w:color w:val="222222"/>
          <w:sz w:val="24"/>
          <w:szCs w:val="24"/>
          <w:lang w:eastAsia="el-GR"/>
        </w:rPr>
      </w:pPr>
    </w:p>
    <w:tbl>
      <w:tblPr>
        <w:tblStyle w:val="a9"/>
        <w:tblW w:w="5000" w:type="pct"/>
        <w:tblLook w:val="04A0" w:firstRow="1" w:lastRow="0" w:firstColumn="1" w:lastColumn="0" w:noHBand="0" w:noVBand="1"/>
      </w:tblPr>
      <w:tblGrid>
        <w:gridCol w:w="2924"/>
        <w:gridCol w:w="1954"/>
        <w:gridCol w:w="1709"/>
        <w:gridCol w:w="1944"/>
        <w:gridCol w:w="2033"/>
      </w:tblGrid>
      <w:tr w:rsidR="008C7281" w:rsidRPr="00E36734" w14:paraId="5465A7B9" w14:textId="77777777" w:rsidTr="008C7281">
        <w:trPr>
          <w:trHeight w:val="288"/>
        </w:trPr>
        <w:tc>
          <w:tcPr>
            <w:tcW w:w="1384" w:type="pct"/>
            <w:vMerge w:val="restart"/>
            <w:shd w:val="clear" w:color="auto" w:fill="DBE5F1" w:themeFill="accent1" w:themeFillTint="33"/>
            <w:hideMark/>
          </w:tcPr>
          <w:p w14:paraId="39471BD8" w14:textId="076DB8FE" w:rsidR="006D0D98" w:rsidRPr="00E36734" w:rsidRDefault="006D0D98" w:rsidP="008C7281">
            <w:pPr>
              <w:spacing w:line="360" w:lineRule="auto"/>
              <w:jc w:val="center"/>
              <w:rPr>
                <w:b/>
                <w:bCs/>
                <w:color w:val="222222"/>
              </w:rPr>
            </w:pPr>
            <w:r w:rsidRPr="00E36734">
              <w:rPr>
                <w:b/>
                <w:bCs/>
                <w:color w:val="222222"/>
              </w:rPr>
              <w:lastRenderedPageBreak/>
              <w:t>Πίνακας 5</w:t>
            </w:r>
          </w:p>
          <w:p w14:paraId="15A18D4B" w14:textId="1592BC1B" w:rsidR="008C7281" w:rsidRPr="00E36734" w:rsidRDefault="008C7281" w:rsidP="008C7281">
            <w:pPr>
              <w:spacing w:line="360" w:lineRule="auto"/>
              <w:jc w:val="center"/>
              <w:rPr>
                <w:b/>
                <w:bCs/>
                <w:color w:val="222222"/>
                <w:sz w:val="18"/>
                <w:szCs w:val="18"/>
              </w:rPr>
            </w:pPr>
            <w:r w:rsidRPr="00E36734">
              <w:rPr>
                <w:b/>
                <w:bCs/>
                <w:color w:val="222222"/>
                <w:sz w:val="18"/>
                <w:szCs w:val="18"/>
              </w:rPr>
              <w:t>Τα ταμειακά διαθέσιμα (η ρευστότητα της επιχείρησης) για πόσο καιρό επαρκούν για να καλύψουν τις βασικές υποχρεώσεις της επιχείρησης;</w:t>
            </w:r>
          </w:p>
        </w:tc>
        <w:tc>
          <w:tcPr>
            <w:tcW w:w="2654" w:type="pct"/>
            <w:gridSpan w:val="3"/>
            <w:shd w:val="clear" w:color="auto" w:fill="DBE5F1" w:themeFill="accent1" w:themeFillTint="33"/>
            <w:hideMark/>
          </w:tcPr>
          <w:p w14:paraId="71B637CE" w14:textId="02CB0A00" w:rsidR="008C7281" w:rsidRPr="00E36734" w:rsidRDefault="008C7281" w:rsidP="008C7281">
            <w:pPr>
              <w:spacing w:line="360" w:lineRule="auto"/>
              <w:jc w:val="center"/>
              <w:rPr>
                <w:b/>
                <w:bCs/>
                <w:color w:val="222222"/>
                <w:sz w:val="18"/>
                <w:szCs w:val="18"/>
              </w:rPr>
            </w:pPr>
            <w:r w:rsidRPr="00E36734">
              <w:rPr>
                <w:b/>
                <w:bCs/>
                <w:color w:val="222222"/>
                <w:sz w:val="18"/>
                <w:szCs w:val="18"/>
              </w:rPr>
              <w:t>Η επιχε</w:t>
            </w:r>
            <w:r w:rsidR="004D3693" w:rsidRPr="00E36734">
              <w:rPr>
                <w:b/>
                <w:bCs/>
                <w:color w:val="222222"/>
                <w:sz w:val="18"/>
                <w:szCs w:val="18"/>
              </w:rPr>
              <w:t>ί</w:t>
            </w:r>
            <w:r w:rsidRPr="00E36734">
              <w:rPr>
                <w:b/>
                <w:bCs/>
                <w:color w:val="222222"/>
                <w:sz w:val="18"/>
                <w:szCs w:val="18"/>
              </w:rPr>
              <w:t>ρ</w:t>
            </w:r>
            <w:r w:rsidR="004D3693" w:rsidRPr="00E36734">
              <w:rPr>
                <w:b/>
                <w:bCs/>
                <w:color w:val="222222"/>
                <w:sz w:val="18"/>
                <w:szCs w:val="18"/>
              </w:rPr>
              <w:t>η</w:t>
            </w:r>
            <w:r w:rsidRPr="00E36734">
              <w:rPr>
                <w:b/>
                <w:bCs/>
                <w:color w:val="222222"/>
                <w:sz w:val="18"/>
                <w:szCs w:val="18"/>
              </w:rPr>
              <w:t>σή σας:</w:t>
            </w:r>
          </w:p>
        </w:tc>
        <w:tc>
          <w:tcPr>
            <w:tcW w:w="962" w:type="pct"/>
            <w:vMerge w:val="restart"/>
            <w:shd w:val="clear" w:color="auto" w:fill="DBE5F1" w:themeFill="accent1" w:themeFillTint="33"/>
            <w:hideMark/>
          </w:tcPr>
          <w:p w14:paraId="0122D16F" w14:textId="77777777" w:rsidR="008C7281" w:rsidRPr="00E36734" w:rsidRDefault="008C7281" w:rsidP="008C7281">
            <w:pPr>
              <w:spacing w:line="360" w:lineRule="auto"/>
              <w:jc w:val="both"/>
              <w:rPr>
                <w:b/>
                <w:bCs/>
                <w:color w:val="222222"/>
                <w:sz w:val="18"/>
                <w:szCs w:val="18"/>
              </w:rPr>
            </w:pPr>
          </w:p>
          <w:p w14:paraId="579E7DF0" w14:textId="77777777" w:rsidR="008C7281" w:rsidRPr="00E36734" w:rsidRDefault="008C7281" w:rsidP="008C7281">
            <w:pPr>
              <w:spacing w:line="360" w:lineRule="auto"/>
              <w:jc w:val="both"/>
              <w:rPr>
                <w:b/>
                <w:bCs/>
                <w:color w:val="222222"/>
                <w:sz w:val="18"/>
                <w:szCs w:val="18"/>
              </w:rPr>
            </w:pPr>
          </w:p>
          <w:p w14:paraId="7687D790" w14:textId="2FC94666" w:rsidR="008C7281" w:rsidRPr="00E36734" w:rsidRDefault="008C7281" w:rsidP="008C7281">
            <w:pPr>
              <w:spacing w:line="360" w:lineRule="auto"/>
              <w:jc w:val="both"/>
              <w:rPr>
                <w:b/>
                <w:bCs/>
                <w:color w:val="222222"/>
                <w:sz w:val="18"/>
                <w:szCs w:val="18"/>
              </w:rPr>
            </w:pPr>
            <w:r w:rsidRPr="00E36734">
              <w:rPr>
                <w:b/>
                <w:bCs/>
                <w:color w:val="222222"/>
                <w:sz w:val="18"/>
                <w:szCs w:val="18"/>
              </w:rPr>
              <w:t>Επιχειρήσεις εστίασης</w:t>
            </w:r>
          </w:p>
        </w:tc>
      </w:tr>
      <w:tr w:rsidR="008C7281" w:rsidRPr="00E36734" w14:paraId="2FE89EFB" w14:textId="77777777" w:rsidTr="008C7281">
        <w:trPr>
          <w:trHeight w:val="1214"/>
        </w:trPr>
        <w:tc>
          <w:tcPr>
            <w:tcW w:w="1384" w:type="pct"/>
            <w:vMerge/>
            <w:shd w:val="clear" w:color="auto" w:fill="DBE5F1" w:themeFill="accent1" w:themeFillTint="33"/>
            <w:hideMark/>
          </w:tcPr>
          <w:p w14:paraId="5AE03A26" w14:textId="77777777" w:rsidR="008C7281" w:rsidRPr="00E36734" w:rsidRDefault="008C7281" w:rsidP="008C7281">
            <w:pPr>
              <w:spacing w:line="360" w:lineRule="auto"/>
              <w:jc w:val="both"/>
              <w:rPr>
                <w:b/>
                <w:bCs/>
                <w:color w:val="222222"/>
                <w:sz w:val="18"/>
                <w:szCs w:val="18"/>
              </w:rPr>
            </w:pPr>
          </w:p>
        </w:tc>
        <w:tc>
          <w:tcPr>
            <w:tcW w:w="925" w:type="pct"/>
            <w:shd w:val="clear" w:color="auto" w:fill="DBE5F1" w:themeFill="accent1" w:themeFillTint="33"/>
            <w:hideMark/>
          </w:tcPr>
          <w:p w14:paraId="6723AAC1" w14:textId="77777777" w:rsidR="008C7281" w:rsidRPr="00E36734" w:rsidRDefault="008C7281" w:rsidP="008C7281">
            <w:pPr>
              <w:spacing w:line="360" w:lineRule="auto"/>
              <w:jc w:val="center"/>
              <w:rPr>
                <w:b/>
                <w:bCs/>
                <w:color w:val="222222"/>
                <w:sz w:val="18"/>
                <w:szCs w:val="18"/>
              </w:rPr>
            </w:pPr>
            <w:r w:rsidRPr="00E36734">
              <w:rPr>
                <w:b/>
                <w:bCs/>
                <w:color w:val="222222"/>
                <w:sz w:val="18"/>
                <w:szCs w:val="18"/>
              </w:rPr>
              <w:t>άνηκε σε εκείνες που βάσει ΚΑΔ ανέστειλαν την δραστηριότητα τους</w:t>
            </w:r>
          </w:p>
        </w:tc>
        <w:tc>
          <w:tcPr>
            <w:tcW w:w="809" w:type="pct"/>
            <w:shd w:val="clear" w:color="auto" w:fill="DBE5F1" w:themeFill="accent1" w:themeFillTint="33"/>
            <w:hideMark/>
          </w:tcPr>
          <w:p w14:paraId="5E5A9DFB" w14:textId="77777777" w:rsidR="008C7281" w:rsidRPr="00E36734" w:rsidRDefault="008C7281" w:rsidP="008C7281">
            <w:pPr>
              <w:spacing w:line="360" w:lineRule="auto"/>
              <w:jc w:val="center"/>
              <w:rPr>
                <w:b/>
                <w:bCs/>
                <w:color w:val="222222"/>
                <w:sz w:val="18"/>
                <w:szCs w:val="18"/>
              </w:rPr>
            </w:pPr>
            <w:r w:rsidRPr="00E36734">
              <w:rPr>
                <w:b/>
                <w:bCs/>
                <w:color w:val="222222"/>
                <w:sz w:val="18"/>
                <w:szCs w:val="18"/>
              </w:rPr>
              <w:t>άνηκε στις πληττόμενες βάσει ΚΑΔ επιχειρήσεις</w:t>
            </w:r>
          </w:p>
        </w:tc>
        <w:tc>
          <w:tcPr>
            <w:tcW w:w="920" w:type="pct"/>
            <w:shd w:val="clear" w:color="auto" w:fill="DBE5F1" w:themeFill="accent1" w:themeFillTint="33"/>
            <w:hideMark/>
          </w:tcPr>
          <w:p w14:paraId="556B874A" w14:textId="77777777" w:rsidR="008C7281" w:rsidRPr="00E36734" w:rsidRDefault="008C7281" w:rsidP="008C7281">
            <w:pPr>
              <w:spacing w:line="360" w:lineRule="auto"/>
              <w:jc w:val="center"/>
              <w:rPr>
                <w:b/>
                <w:bCs/>
                <w:color w:val="222222"/>
                <w:sz w:val="18"/>
                <w:szCs w:val="18"/>
              </w:rPr>
            </w:pPr>
            <w:r w:rsidRPr="00E36734">
              <w:rPr>
                <w:b/>
                <w:bCs/>
                <w:color w:val="222222"/>
                <w:sz w:val="18"/>
                <w:szCs w:val="18"/>
              </w:rPr>
              <w:t>δεν άνηκε σε καμία από τις παρακείμενες κατηγορίες</w:t>
            </w:r>
          </w:p>
        </w:tc>
        <w:tc>
          <w:tcPr>
            <w:tcW w:w="962" w:type="pct"/>
            <w:vMerge/>
            <w:shd w:val="clear" w:color="auto" w:fill="DBE5F1" w:themeFill="accent1" w:themeFillTint="33"/>
            <w:hideMark/>
          </w:tcPr>
          <w:p w14:paraId="19320B4F" w14:textId="77777777" w:rsidR="008C7281" w:rsidRPr="00E36734" w:rsidRDefault="008C7281" w:rsidP="008C7281">
            <w:pPr>
              <w:spacing w:line="360" w:lineRule="auto"/>
              <w:jc w:val="both"/>
              <w:rPr>
                <w:b/>
                <w:bCs/>
                <w:color w:val="222222"/>
                <w:sz w:val="18"/>
                <w:szCs w:val="18"/>
              </w:rPr>
            </w:pPr>
          </w:p>
        </w:tc>
      </w:tr>
      <w:tr w:rsidR="008C7281" w:rsidRPr="00E36734" w14:paraId="51F46A96" w14:textId="77777777" w:rsidTr="008C7281">
        <w:trPr>
          <w:trHeight w:val="288"/>
        </w:trPr>
        <w:tc>
          <w:tcPr>
            <w:tcW w:w="1384" w:type="pct"/>
            <w:noWrap/>
            <w:hideMark/>
          </w:tcPr>
          <w:p w14:paraId="0A27CF64" w14:textId="77777777" w:rsidR="008C7281" w:rsidRPr="00E36734" w:rsidRDefault="008C7281" w:rsidP="008C7281">
            <w:pPr>
              <w:spacing w:line="360" w:lineRule="auto"/>
              <w:jc w:val="both"/>
              <w:rPr>
                <w:color w:val="222222"/>
                <w:sz w:val="18"/>
                <w:szCs w:val="18"/>
              </w:rPr>
            </w:pPr>
            <w:r w:rsidRPr="00E36734">
              <w:rPr>
                <w:color w:val="222222"/>
                <w:sz w:val="18"/>
                <w:szCs w:val="18"/>
              </w:rPr>
              <w:t>Δεν υπάρχουν ταμειακά διαθέσιμα</w:t>
            </w:r>
          </w:p>
        </w:tc>
        <w:tc>
          <w:tcPr>
            <w:tcW w:w="925" w:type="pct"/>
            <w:noWrap/>
            <w:hideMark/>
          </w:tcPr>
          <w:p w14:paraId="344BD864" w14:textId="77777777" w:rsidR="008C7281" w:rsidRPr="00E36734" w:rsidRDefault="008C7281" w:rsidP="008C7281">
            <w:pPr>
              <w:spacing w:line="360" w:lineRule="auto"/>
              <w:jc w:val="center"/>
              <w:rPr>
                <w:color w:val="222222"/>
                <w:sz w:val="18"/>
                <w:szCs w:val="18"/>
              </w:rPr>
            </w:pPr>
            <w:r w:rsidRPr="00E36734">
              <w:rPr>
                <w:color w:val="222222"/>
                <w:sz w:val="18"/>
                <w:szCs w:val="18"/>
              </w:rPr>
              <w:t>36,1</w:t>
            </w:r>
          </w:p>
        </w:tc>
        <w:tc>
          <w:tcPr>
            <w:tcW w:w="809" w:type="pct"/>
            <w:noWrap/>
            <w:hideMark/>
          </w:tcPr>
          <w:p w14:paraId="5CB93C7C" w14:textId="77777777" w:rsidR="008C7281" w:rsidRPr="00E36734" w:rsidRDefault="008C7281" w:rsidP="008C7281">
            <w:pPr>
              <w:spacing w:line="360" w:lineRule="auto"/>
              <w:jc w:val="center"/>
              <w:rPr>
                <w:color w:val="222222"/>
                <w:sz w:val="18"/>
                <w:szCs w:val="18"/>
              </w:rPr>
            </w:pPr>
            <w:r w:rsidRPr="00E36734">
              <w:rPr>
                <w:color w:val="222222"/>
                <w:sz w:val="18"/>
                <w:szCs w:val="18"/>
              </w:rPr>
              <w:t>22,3</w:t>
            </w:r>
          </w:p>
        </w:tc>
        <w:tc>
          <w:tcPr>
            <w:tcW w:w="920" w:type="pct"/>
            <w:noWrap/>
            <w:hideMark/>
          </w:tcPr>
          <w:p w14:paraId="495237D0" w14:textId="77777777" w:rsidR="008C7281" w:rsidRPr="00E36734" w:rsidRDefault="008C7281" w:rsidP="008C7281">
            <w:pPr>
              <w:spacing w:line="360" w:lineRule="auto"/>
              <w:jc w:val="center"/>
              <w:rPr>
                <w:color w:val="222222"/>
                <w:sz w:val="18"/>
                <w:szCs w:val="18"/>
              </w:rPr>
            </w:pPr>
            <w:r w:rsidRPr="00E36734">
              <w:rPr>
                <w:color w:val="222222"/>
                <w:sz w:val="18"/>
                <w:szCs w:val="18"/>
              </w:rPr>
              <w:t>18,6</w:t>
            </w:r>
          </w:p>
        </w:tc>
        <w:tc>
          <w:tcPr>
            <w:tcW w:w="962" w:type="pct"/>
            <w:noWrap/>
            <w:hideMark/>
          </w:tcPr>
          <w:p w14:paraId="72340D70" w14:textId="77777777" w:rsidR="008C7281" w:rsidRPr="00E36734" w:rsidRDefault="008C7281" w:rsidP="008C7281">
            <w:pPr>
              <w:spacing w:line="360" w:lineRule="auto"/>
              <w:jc w:val="center"/>
              <w:rPr>
                <w:color w:val="222222"/>
                <w:sz w:val="18"/>
                <w:szCs w:val="18"/>
              </w:rPr>
            </w:pPr>
            <w:r w:rsidRPr="00E36734">
              <w:rPr>
                <w:color w:val="222222"/>
                <w:sz w:val="18"/>
                <w:szCs w:val="18"/>
              </w:rPr>
              <w:t>44,1</w:t>
            </w:r>
          </w:p>
        </w:tc>
      </w:tr>
      <w:tr w:rsidR="008C7281" w:rsidRPr="00E36734" w14:paraId="7B7B8779" w14:textId="77777777" w:rsidTr="008C7281">
        <w:trPr>
          <w:trHeight w:val="288"/>
        </w:trPr>
        <w:tc>
          <w:tcPr>
            <w:tcW w:w="1384" w:type="pct"/>
            <w:noWrap/>
            <w:hideMark/>
          </w:tcPr>
          <w:p w14:paraId="28A9E1B9" w14:textId="77777777" w:rsidR="008C7281" w:rsidRPr="00E36734" w:rsidRDefault="008C7281" w:rsidP="008C7281">
            <w:pPr>
              <w:spacing w:line="360" w:lineRule="auto"/>
              <w:jc w:val="both"/>
              <w:rPr>
                <w:color w:val="222222"/>
                <w:sz w:val="18"/>
                <w:szCs w:val="18"/>
              </w:rPr>
            </w:pPr>
            <w:r w:rsidRPr="00E36734">
              <w:rPr>
                <w:color w:val="222222"/>
                <w:sz w:val="18"/>
                <w:szCs w:val="18"/>
              </w:rPr>
              <w:t>Λιγότερο από μήνα</w:t>
            </w:r>
          </w:p>
        </w:tc>
        <w:tc>
          <w:tcPr>
            <w:tcW w:w="925" w:type="pct"/>
            <w:noWrap/>
            <w:hideMark/>
          </w:tcPr>
          <w:p w14:paraId="184538E5" w14:textId="77777777" w:rsidR="008C7281" w:rsidRPr="00E36734" w:rsidRDefault="008C7281" w:rsidP="008C7281">
            <w:pPr>
              <w:spacing w:line="360" w:lineRule="auto"/>
              <w:jc w:val="center"/>
              <w:rPr>
                <w:color w:val="222222"/>
                <w:sz w:val="18"/>
                <w:szCs w:val="18"/>
              </w:rPr>
            </w:pPr>
            <w:r w:rsidRPr="00E36734">
              <w:rPr>
                <w:color w:val="222222"/>
                <w:sz w:val="18"/>
                <w:szCs w:val="18"/>
              </w:rPr>
              <w:t>8,9</w:t>
            </w:r>
          </w:p>
        </w:tc>
        <w:tc>
          <w:tcPr>
            <w:tcW w:w="809" w:type="pct"/>
            <w:noWrap/>
            <w:hideMark/>
          </w:tcPr>
          <w:p w14:paraId="32A475FE" w14:textId="77777777" w:rsidR="008C7281" w:rsidRPr="00E36734" w:rsidRDefault="008C7281" w:rsidP="008C7281">
            <w:pPr>
              <w:spacing w:line="360" w:lineRule="auto"/>
              <w:jc w:val="center"/>
              <w:rPr>
                <w:color w:val="222222"/>
                <w:sz w:val="18"/>
                <w:szCs w:val="18"/>
              </w:rPr>
            </w:pPr>
            <w:r w:rsidRPr="00E36734">
              <w:rPr>
                <w:color w:val="222222"/>
                <w:sz w:val="18"/>
                <w:szCs w:val="18"/>
              </w:rPr>
              <w:t>8,1</w:t>
            </w:r>
          </w:p>
        </w:tc>
        <w:tc>
          <w:tcPr>
            <w:tcW w:w="920" w:type="pct"/>
            <w:noWrap/>
            <w:hideMark/>
          </w:tcPr>
          <w:p w14:paraId="6A4F7214" w14:textId="77777777" w:rsidR="008C7281" w:rsidRPr="00E36734" w:rsidRDefault="008C7281" w:rsidP="008C7281">
            <w:pPr>
              <w:spacing w:line="360" w:lineRule="auto"/>
              <w:jc w:val="center"/>
              <w:rPr>
                <w:color w:val="222222"/>
                <w:sz w:val="18"/>
                <w:szCs w:val="18"/>
              </w:rPr>
            </w:pPr>
            <w:r w:rsidRPr="00E36734">
              <w:rPr>
                <w:color w:val="222222"/>
                <w:sz w:val="18"/>
                <w:szCs w:val="18"/>
              </w:rPr>
              <w:t>13,7</w:t>
            </w:r>
          </w:p>
        </w:tc>
        <w:tc>
          <w:tcPr>
            <w:tcW w:w="962" w:type="pct"/>
            <w:noWrap/>
            <w:hideMark/>
          </w:tcPr>
          <w:p w14:paraId="04D85D2F" w14:textId="77777777" w:rsidR="008C7281" w:rsidRPr="00E36734" w:rsidRDefault="008C7281" w:rsidP="008C7281">
            <w:pPr>
              <w:spacing w:line="360" w:lineRule="auto"/>
              <w:jc w:val="center"/>
              <w:rPr>
                <w:color w:val="222222"/>
                <w:sz w:val="18"/>
                <w:szCs w:val="18"/>
              </w:rPr>
            </w:pPr>
            <w:r w:rsidRPr="00E36734">
              <w:rPr>
                <w:color w:val="222222"/>
                <w:sz w:val="18"/>
                <w:szCs w:val="18"/>
              </w:rPr>
              <w:t>7,4</w:t>
            </w:r>
          </w:p>
        </w:tc>
      </w:tr>
      <w:tr w:rsidR="008C7281" w:rsidRPr="00E36734" w14:paraId="6CD2EC61" w14:textId="77777777" w:rsidTr="008C7281">
        <w:trPr>
          <w:trHeight w:val="288"/>
        </w:trPr>
        <w:tc>
          <w:tcPr>
            <w:tcW w:w="1384" w:type="pct"/>
            <w:noWrap/>
            <w:hideMark/>
          </w:tcPr>
          <w:p w14:paraId="4D091E06" w14:textId="77777777" w:rsidR="008C7281" w:rsidRPr="00E36734" w:rsidRDefault="008C7281" w:rsidP="008C7281">
            <w:pPr>
              <w:spacing w:line="360" w:lineRule="auto"/>
              <w:jc w:val="both"/>
              <w:rPr>
                <w:color w:val="222222"/>
                <w:sz w:val="18"/>
                <w:szCs w:val="18"/>
              </w:rPr>
            </w:pPr>
            <w:r w:rsidRPr="00E36734">
              <w:rPr>
                <w:color w:val="222222"/>
                <w:sz w:val="18"/>
                <w:szCs w:val="18"/>
              </w:rPr>
              <w:t>Ένα μήνα</w:t>
            </w:r>
          </w:p>
        </w:tc>
        <w:tc>
          <w:tcPr>
            <w:tcW w:w="925" w:type="pct"/>
            <w:noWrap/>
            <w:hideMark/>
          </w:tcPr>
          <w:p w14:paraId="71D1A9C3" w14:textId="77777777" w:rsidR="008C7281" w:rsidRPr="00E36734" w:rsidRDefault="008C7281" w:rsidP="008C7281">
            <w:pPr>
              <w:spacing w:line="360" w:lineRule="auto"/>
              <w:jc w:val="center"/>
              <w:rPr>
                <w:color w:val="222222"/>
                <w:sz w:val="18"/>
                <w:szCs w:val="18"/>
              </w:rPr>
            </w:pPr>
            <w:r w:rsidRPr="00E36734">
              <w:rPr>
                <w:color w:val="222222"/>
                <w:sz w:val="18"/>
                <w:szCs w:val="18"/>
              </w:rPr>
              <w:t>13,6</w:t>
            </w:r>
          </w:p>
        </w:tc>
        <w:tc>
          <w:tcPr>
            <w:tcW w:w="809" w:type="pct"/>
            <w:noWrap/>
            <w:hideMark/>
          </w:tcPr>
          <w:p w14:paraId="136A9906" w14:textId="77777777" w:rsidR="008C7281" w:rsidRPr="00E36734" w:rsidRDefault="008C7281" w:rsidP="008C7281">
            <w:pPr>
              <w:spacing w:line="360" w:lineRule="auto"/>
              <w:jc w:val="center"/>
              <w:rPr>
                <w:color w:val="222222"/>
                <w:sz w:val="18"/>
                <w:szCs w:val="18"/>
              </w:rPr>
            </w:pPr>
            <w:r w:rsidRPr="00E36734">
              <w:rPr>
                <w:color w:val="222222"/>
                <w:sz w:val="18"/>
                <w:szCs w:val="18"/>
              </w:rPr>
              <w:t>15,9</w:t>
            </w:r>
          </w:p>
        </w:tc>
        <w:tc>
          <w:tcPr>
            <w:tcW w:w="920" w:type="pct"/>
            <w:noWrap/>
            <w:hideMark/>
          </w:tcPr>
          <w:p w14:paraId="7B7D4654" w14:textId="77777777" w:rsidR="008C7281" w:rsidRPr="00E36734" w:rsidRDefault="008C7281" w:rsidP="008C7281">
            <w:pPr>
              <w:spacing w:line="360" w:lineRule="auto"/>
              <w:jc w:val="center"/>
              <w:rPr>
                <w:color w:val="222222"/>
                <w:sz w:val="18"/>
                <w:szCs w:val="18"/>
              </w:rPr>
            </w:pPr>
            <w:r w:rsidRPr="00E36734">
              <w:rPr>
                <w:color w:val="222222"/>
                <w:sz w:val="18"/>
                <w:szCs w:val="18"/>
              </w:rPr>
              <w:t>12,0</w:t>
            </w:r>
          </w:p>
        </w:tc>
        <w:tc>
          <w:tcPr>
            <w:tcW w:w="962" w:type="pct"/>
            <w:noWrap/>
            <w:hideMark/>
          </w:tcPr>
          <w:p w14:paraId="10000BD7" w14:textId="77777777" w:rsidR="008C7281" w:rsidRPr="00E36734" w:rsidRDefault="008C7281" w:rsidP="008C7281">
            <w:pPr>
              <w:spacing w:line="360" w:lineRule="auto"/>
              <w:jc w:val="center"/>
              <w:rPr>
                <w:color w:val="222222"/>
                <w:sz w:val="18"/>
                <w:szCs w:val="18"/>
              </w:rPr>
            </w:pPr>
            <w:r w:rsidRPr="00E36734">
              <w:rPr>
                <w:color w:val="222222"/>
                <w:sz w:val="18"/>
                <w:szCs w:val="18"/>
              </w:rPr>
              <w:t>11,8</w:t>
            </w:r>
          </w:p>
        </w:tc>
      </w:tr>
      <w:tr w:rsidR="008C7281" w:rsidRPr="00E36734" w14:paraId="60EE0371" w14:textId="77777777" w:rsidTr="008C7281">
        <w:trPr>
          <w:trHeight w:val="288"/>
        </w:trPr>
        <w:tc>
          <w:tcPr>
            <w:tcW w:w="1384" w:type="pct"/>
            <w:noWrap/>
            <w:hideMark/>
          </w:tcPr>
          <w:p w14:paraId="72C324B2" w14:textId="0371C585" w:rsidR="008C7281" w:rsidRPr="00E36734" w:rsidRDefault="008C7281" w:rsidP="008C7281">
            <w:pPr>
              <w:spacing w:line="360" w:lineRule="auto"/>
              <w:jc w:val="both"/>
              <w:rPr>
                <w:color w:val="222222"/>
                <w:sz w:val="18"/>
                <w:szCs w:val="18"/>
              </w:rPr>
            </w:pPr>
            <w:r w:rsidRPr="00E36734">
              <w:rPr>
                <w:color w:val="222222"/>
                <w:sz w:val="18"/>
                <w:szCs w:val="18"/>
              </w:rPr>
              <w:t>Δύο μήνες</w:t>
            </w:r>
          </w:p>
        </w:tc>
        <w:tc>
          <w:tcPr>
            <w:tcW w:w="925" w:type="pct"/>
            <w:noWrap/>
            <w:hideMark/>
          </w:tcPr>
          <w:p w14:paraId="4363AA63" w14:textId="77777777" w:rsidR="008C7281" w:rsidRPr="00E36734" w:rsidRDefault="008C7281" w:rsidP="008C7281">
            <w:pPr>
              <w:spacing w:line="360" w:lineRule="auto"/>
              <w:jc w:val="center"/>
              <w:rPr>
                <w:color w:val="222222"/>
                <w:sz w:val="18"/>
                <w:szCs w:val="18"/>
              </w:rPr>
            </w:pPr>
            <w:r w:rsidRPr="00E36734">
              <w:rPr>
                <w:color w:val="222222"/>
                <w:sz w:val="18"/>
                <w:szCs w:val="18"/>
              </w:rPr>
              <w:t>15,7</w:t>
            </w:r>
          </w:p>
        </w:tc>
        <w:tc>
          <w:tcPr>
            <w:tcW w:w="809" w:type="pct"/>
            <w:noWrap/>
            <w:hideMark/>
          </w:tcPr>
          <w:p w14:paraId="618C7D31" w14:textId="77777777" w:rsidR="008C7281" w:rsidRPr="00E36734" w:rsidRDefault="008C7281" w:rsidP="008C7281">
            <w:pPr>
              <w:spacing w:line="360" w:lineRule="auto"/>
              <w:jc w:val="center"/>
              <w:rPr>
                <w:color w:val="222222"/>
                <w:sz w:val="18"/>
                <w:szCs w:val="18"/>
              </w:rPr>
            </w:pPr>
            <w:r w:rsidRPr="00E36734">
              <w:rPr>
                <w:color w:val="222222"/>
                <w:sz w:val="18"/>
                <w:szCs w:val="18"/>
              </w:rPr>
              <w:t>13,0</w:t>
            </w:r>
          </w:p>
        </w:tc>
        <w:tc>
          <w:tcPr>
            <w:tcW w:w="920" w:type="pct"/>
            <w:noWrap/>
            <w:hideMark/>
          </w:tcPr>
          <w:p w14:paraId="65ABA9D9" w14:textId="77777777" w:rsidR="008C7281" w:rsidRPr="00E36734" w:rsidRDefault="008C7281" w:rsidP="008C7281">
            <w:pPr>
              <w:spacing w:line="360" w:lineRule="auto"/>
              <w:jc w:val="center"/>
              <w:rPr>
                <w:color w:val="222222"/>
                <w:sz w:val="18"/>
                <w:szCs w:val="18"/>
              </w:rPr>
            </w:pPr>
            <w:r w:rsidRPr="00E36734">
              <w:rPr>
                <w:color w:val="222222"/>
                <w:sz w:val="18"/>
                <w:szCs w:val="18"/>
              </w:rPr>
              <w:t>13,7</w:t>
            </w:r>
          </w:p>
        </w:tc>
        <w:tc>
          <w:tcPr>
            <w:tcW w:w="962" w:type="pct"/>
            <w:noWrap/>
            <w:hideMark/>
          </w:tcPr>
          <w:p w14:paraId="059FDD00" w14:textId="77777777" w:rsidR="008C7281" w:rsidRPr="00E36734" w:rsidRDefault="008C7281" w:rsidP="008C7281">
            <w:pPr>
              <w:spacing w:line="360" w:lineRule="auto"/>
              <w:jc w:val="center"/>
              <w:rPr>
                <w:color w:val="222222"/>
                <w:sz w:val="18"/>
                <w:szCs w:val="18"/>
              </w:rPr>
            </w:pPr>
            <w:r w:rsidRPr="00E36734">
              <w:rPr>
                <w:color w:val="222222"/>
                <w:sz w:val="18"/>
                <w:szCs w:val="18"/>
              </w:rPr>
              <w:t>11,8</w:t>
            </w:r>
          </w:p>
        </w:tc>
      </w:tr>
      <w:tr w:rsidR="008C7281" w:rsidRPr="00E36734" w14:paraId="0866086B" w14:textId="77777777" w:rsidTr="008C7281">
        <w:trPr>
          <w:trHeight w:val="288"/>
        </w:trPr>
        <w:tc>
          <w:tcPr>
            <w:tcW w:w="1384" w:type="pct"/>
            <w:noWrap/>
            <w:hideMark/>
          </w:tcPr>
          <w:p w14:paraId="2606F9F7" w14:textId="77777777" w:rsidR="008C7281" w:rsidRPr="00E36734" w:rsidRDefault="008C7281" w:rsidP="008C7281">
            <w:pPr>
              <w:spacing w:line="360" w:lineRule="auto"/>
              <w:jc w:val="both"/>
              <w:rPr>
                <w:color w:val="222222"/>
                <w:sz w:val="18"/>
                <w:szCs w:val="18"/>
              </w:rPr>
            </w:pPr>
            <w:r w:rsidRPr="00E36734">
              <w:rPr>
                <w:color w:val="222222"/>
                <w:sz w:val="18"/>
                <w:szCs w:val="18"/>
              </w:rPr>
              <w:t>3-4 μήνες</w:t>
            </w:r>
          </w:p>
        </w:tc>
        <w:tc>
          <w:tcPr>
            <w:tcW w:w="925" w:type="pct"/>
            <w:noWrap/>
            <w:hideMark/>
          </w:tcPr>
          <w:p w14:paraId="74B0527E" w14:textId="77777777" w:rsidR="008C7281" w:rsidRPr="00E36734" w:rsidRDefault="008C7281" w:rsidP="008C7281">
            <w:pPr>
              <w:spacing w:line="360" w:lineRule="auto"/>
              <w:jc w:val="center"/>
              <w:rPr>
                <w:color w:val="222222"/>
                <w:sz w:val="18"/>
                <w:szCs w:val="18"/>
              </w:rPr>
            </w:pPr>
            <w:r w:rsidRPr="00E36734">
              <w:rPr>
                <w:color w:val="222222"/>
                <w:sz w:val="18"/>
                <w:szCs w:val="18"/>
              </w:rPr>
              <w:t>12,0</w:t>
            </w:r>
          </w:p>
        </w:tc>
        <w:tc>
          <w:tcPr>
            <w:tcW w:w="809" w:type="pct"/>
            <w:noWrap/>
            <w:hideMark/>
          </w:tcPr>
          <w:p w14:paraId="2B599CD8" w14:textId="77777777" w:rsidR="008C7281" w:rsidRPr="00E36734" w:rsidRDefault="008C7281" w:rsidP="008C7281">
            <w:pPr>
              <w:spacing w:line="360" w:lineRule="auto"/>
              <w:jc w:val="center"/>
              <w:rPr>
                <w:color w:val="222222"/>
                <w:sz w:val="18"/>
                <w:szCs w:val="18"/>
              </w:rPr>
            </w:pPr>
            <w:r w:rsidRPr="00E36734">
              <w:rPr>
                <w:color w:val="222222"/>
                <w:sz w:val="18"/>
                <w:szCs w:val="18"/>
              </w:rPr>
              <w:t>14,5</w:t>
            </w:r>
          </w:p>
        </w:tc>
        <w:tc>
          <w:tcPr>
            <w:tcW w:w="920" w:type="pct"/>
            <w:noWrap/>
            <w:hideMark/>
          </w:tcPr>
          <w:p w14:paraId="27E2C1B1" w14:textId="77777777" w:rsidR="008C7281" w:rsidRPr="00E36734" w:rsidRDefault="008C7281" w:rsidP="008C7281">
            <w:pPr>
              <w:spacing w:line="360" w:lineRule="auto"/>
              <w:jc w:val="center"/>
              <w:rPr>
                <w:color w:val="222222"/>
                <w:sz w:val="18"/>
                <w:szCs w:val="18"/>
              </w:rPr>
            </w:pPr>
            <w:r w:rsidRPr="00E36734">
              <w:rPr>
                <w:color w:val="222222"/>
                <w:sz w:val="18"/>
                <w:szCs w:val="18"/>
              </w:rPr>
              <w:t>10,9</w:t>
            </w:r>
          </w:p>
        </w:tc>
        <w:tc>
          <w:tcPr>
            <w:tcW w:w="962" w:type="pct"/>
            <w:noWrap/>
            <w:hideMark/>
          </w:tcPr>
          <w:p w14:paraId="412D781F" w14:textId="77777777" w:rsidR="008C7281" w:rsidRPr="00E36734" w:rsidRDefault="008C7281" w:rsidP="008C7281">
            <w:pPr>
              <w:spacing w:line="360" w:lineRule="auto"/>
              <w:jc w:val="center"/>
              <w:rPr>
                <w:color w:val="222222"/>
                <w:sz w:val="18"/>
                <w:szCs w:val="18"/>
              </w:rPr>
            </w:pPr>
            <w:r w:rsidRPr="00E36734">
              <w:rPr>
                <w:color w:val="222222"/>
                <w:sz w:val="18"/>
                <w:szCs w:val="18"/>
              </w:rPr>
              <w:t>10,3</w:t>
            </w:r>
          </w:p>
        </w:tc>
      </w:tr>
      <w:tr w:rsidR="008C7281" w:rsidRPr="00E36734" w14:paraId="6D322B61" w14:textId="77777777" w:rsidTr="008C7281">
        <w:trPr>
          <w:trHeight w:val="288"/>
        </w:trPr>
        <w:tc>
          <w:tcPr>
            <w:tcW w:w="1384" w:type="pct"/>
            <w:noWrap/>
            <w:hideMark/>
          </w:tcPr>
          <w:p w14:paraId="4D5DAB77" w14:textId="77777777" w:rsidR="008C7281" w:rsidRPr="00E36734" w:rsidRDefault="008C7281" w:rsidP="008C7281">
            <w:pPr>
              <w:spacing w:line="360" w:lineRule="auto"/>
              <w:jc w:val="both"/>
              <w:rPr>
                <w:color w:val="222222"/>
                <w:sz w:val="18"/>
                <w:szCs w:val="18"/>
              </w:rPr>
            </w:pPr>
            <w:r w:rsidRPr="00E36734">
              <w:rPr>
                <w:color w:val="222222"/>
                <w:sz w:val="18"/>
                <w:szCs w:val="18"/>
              </w:rPr>
              <w:t>5-6 μήνες</w:t>
            </w:r>
          </w:p>
        </w:tc>
        <w:tc>
          <w:tcPr>
            <w:tcW w:w="925" w:type="pct"/>
            <w:noWrap/>
            <w:hideMark/>
          </w:tcPr>
          <w:p w14:paraId="1D87CFB8" w14:textId="77777777" w:rsidR="008C7281" w:rsidRPr="00E36734" w:rsidRDefault="008C7281" w:rsidP="008C7281">
            <w:pPr>
              <w:spacing w:line="360" w:lineRule="auto"/>
              <w:jc w:val="center"/>
              <w:rPr>
                <w:color w:val="222222"/>
                <w:sz w:val="18"/>
                <w:szCs w:val="18"/>
              </w:rPr>
            </w:pPr>
            <w:r w:rsidRPr="00E36734">
              <w:rPr>
                <w:color w:val="222222"/>
                <w:sz w:val="18"/>
                <w:szCs w:val="18"/>
              </w:rPr>
              <w:t>6,8</w:t>
            </w:r>
          </w:p>
        </w:tc>
        <w:tc>
          <w:tcPr>
            <w:tcW w:w="809" w:type="pct"/>
            <w:noWrap/>
            <w:hideMark/>
          </w:tcPr>
          <w:p w14:paraId="7E38975D" w14:textId="77777777" w:rsidR="008C7281" w:rsidRPr="00E36734" w:rsidRDefault="008C7281" w:rsidP="008C7281">
            <w:pPr>
              <w:spacing w:line="360" w:lineRule="auto"/>
              <w:jc w:val="center"/>
              <w:rPr>
                <w:color w:val="222222"/>
                <w:sz w:val="18"/>
                <w:szCs w:val="18"/>
              </w:rPr>
            </w:pPr>
            <w:r w:rsidRPr="00E36734">
              <w:rPr>
                <w:color w:val="222222"/>
                <w:sz w:val="18"/>
                <w:szCs w:val="18"/>
              </w:rPr>
              <w:t>11,1</w:t>
            </w:r>
          </w:p>
        </w:tc>
        <w:tc>
          <w:tcPr>
            <w:tcW w:w="920" w:type="pct"/>
            <w:noWrap/>
            <w:hideMark/>
          </w:tcPr>
          <w:p w14:paraId="5C13BC9A" w14:textId="77777777" w:rsidR="008C7281" w:rsidRPr="00E36734" w:rsidRDefault="008C7281" w:rsidP="008C7281">
            <w:pPr>
              <w:spacing w:line="360" w:lineRule="auto"/>
              <w:jc w:val="center"/>
              <w:rPr>
                <w:color w:val="222222"/>
                <w:sz w:val="18"/>
                <w:szCs w:val="18"/>
              </w:rPr>
            </w:pPr>
            <w:r w:rsidRPr="00E36734">
              <w:rPr>
                <w:color w:val="222222"/>
                <w:sz w:val="18"/>
                <w:szCs w:val="18"/>
              </w:rPr>
              <w:t>10,9</w:t>
            </w:r>
          </w:p>
        </w:tc>
        <w:tc>
          <w:tcPr>
            <w:tcW w:w="962" w:type="pct"/>
            <w:noWrap/>
            <w:hideMark/>
          </w:tcPr>
          <w:p w14:paraId="7C37367C" w14:textId="77777777" w:rsidR="008C7281" w:rsidRPr="00E36734" w:rsidRDefault="008C7281" w:rsidP="008C7281">
            <w:pPr>
              <w:spacing w:line="360" w:lineRule="auto"/>
              <w:jc w:val="center"/>
              <w:rPr>
                <w:color w:val="222222"/>
                <w:sz w:val="18"/>
                <w:szCs w:val="18"/>
              </w:rPr>
            </w:pPr>
            <w:r w:rsidRPr="00E36734">
              <w:rPr>
                <w:color w:val="222222"/>
                <w:sz w:val="18"/>
                <w:szCs w:val="18"/>
              </w:rPr>
              <w:t>5,9</w:t>
            </w:r>
          </w:p>
        </w:tc>
      </w:tr>
      <w:tr w:rsidR="008C7281" w:rsidRPr="00E36734" w14:paraId="5B8B7654" w14:textId="77777777" w:rsidTr="008C7281">
        <w:trPr>
          <w:trHeight w:val="288"/>
        </w:trPr>
        <w:tc>
          <w:tcPr>
            <w:tcW w:w="1384" w:type="pct"/>
            <w:noWrap/>
            <w:hideMark/>
          </w:tcPr>
          <w:p w14:paraId="38B71DA7" w14:textId="77777777" w:rsidR="008C7281" w:rsidRPr="00E36734" w:rsidRDefault="008C7281" w:rsidP="008C7281">
            <w:pPr>
              <w:spacing w:line="360" w:lineRule="auto"/>
              <w:jc w:val="both"/>
              <w:rPr>
                <w:color w:val="222222"/>
                <w:sz w:val="18"/>
                <w:szCs w:val="18"/>
              </w:rPr>
            </w:pPr>
            <w:r w:rsidRPr="00E36734">
              <w:rPr>
                <w:color w:val="222222"/>
                <w:sz w:val="18"/>
                <w:szCs w:val="18"/>
              </w:rPr>
              <w:t>Περισσότερο από 6 μήνες</w:t>
            </w:r>
          </w:p>
        </w:tc>
        <w:tc>
          <w:tcPr>
            <w:tcW w:w="925" w:type="pct"/>
            <w:noWrap/>
            <w:hideMark/>
          </w:tcPr>
          <w:p w14:paraId="63F95B6B" w14:textId="77777777" w:rsidR="008C7281" w:rsidRPr="00E36734" w:rsidRDefault="008C7281" w:rsidP="008C7281">
            <w:pPr>
              <w:spacing w:line="360" w:lineRule="auto"/>
              <w:jc w:val="center"/>
              <w:rPr>
                <w:color w:val="222222"/>
                <w:sz w:val="18"/>
                <w:szCs w:val="18"/>
              </w:rPr>
            </w:pPr>
            <w:r w:rsidRPr="00E36734">
              <w:rPr>
                <w:color w:val="222222"/>
                <w:sz w:val="18"/>
                <w:szCs w:val="18"/>
              </w:rPr>
              <w:t>2,1</w:t>
            </w:r>
          </w:p>
        </w:tc>
        <w:tc>
          <w:tcPr>
            <w:tcW w:w="809" w:type="pct"/>
            <w:noWrap/>
            <w:hideMark/>
          </w:tcPr>
          <w:p w14:paraId="70350A36" w14:textId="77777777" w:rsidR="008C7281" w:rsidRPr="00E36734" w:rsidRDefault="008C7281" w:rsidP="008C7281">
            <w:pPr>
              <w:spacing w:line="360" w:lineRule="auto"/>
              <w:jc w:val="center"/>
              <w:rPr>
                <w:color w:val="222222"/>
                <w:sz w:val="18"/>
                <w:szCs w:val="18"/>
              </w:rPr>
            </w:pPr>
            <w:r w:rsidRPr="00E36734">
              <w:rPr>
                <w:color w:val="222222"/>
                <w:sz w:val="18"/>
                <w:szCs w:val="18"/>
              </w:rPr>
              <w:t>8,1</w:t>
            </w:r>
          </w:p>
        </w:tc>
        <w:tc>
          <w:tcPr>
            <w:tcW w:w="920" w:type="pct"/>
            <w:noWrap/>
            <w:hideMark/>
          </w:tcPr>
          <w:p w14:paraId="3DD59A80" w14:textId="77777777" w:rsidR="008C7281" w:rsidRPr="00E36734" w:rsidRDefault="008C7281" w:rsidP="008C7281">
            <w:pPr>
              <w:spacing w:line="360" w:lineRule="auto"/>
              <w:jc w:val="center"/>
              <w:rPr>
                <w:color w:val="222222"/>
                <w:sz w:val="18"/>
                <w:szCs w:val="18"/>
              </w:rPr>
            </w:pPr>
            <w:r w:rsidRPr="00E36734">
              <w:rPr>
                <w:color w:val="222222"/>
                <w:sz w:val="18"/>
                <w:szCs w:val="18"/>
              </w:rPr>
              <w:t>12,0</w:t>
            </w:r>
          </w:p>
        </w:tc>
        <w:tc>
          <w:tcPr>
            <w:tcW w:w="962" w:type="pct"/>
            <w:noWrap/>
            <w:hideMark/>
          </w:tcPr>
          <w:p w14:paraId="4694F518" w14:textId="77777777" w:rsidR="008C7281" w:rsidRPr="00E36734" w:rsidRDefault="008C7281" w:rsidP="008C7281">
            <w:pPr>
              <w:spacing w:line="360" w:lineRule="auto"/>
              <w:jc w:val="center"/>
              <w:rPr>
                <w:color w:val="222222"/>
                <w:sz w:val="18"/>
                <w:szCs w:val="18"/>
              </w:rPr>
            </w:pPr>
            <w:r w:rsidRPr="00E36734">
              <w:rPr>
                <w:color w:val="222222"/>
                <w:sz w:val="18"/>
                <w:szCs w:val="18"/>
              </w:rPr>
              <w:t>0,0</w:t>
            </w:r>
          </w:p>
        </w:tc>
      </w:tr>
    </w:tbl>
    <w:p w14:paraId="195800DB" w14:textId="77777777" w:rsidR="008C7281" w:rsidRPr="00E36734" w:rsidRDefault="008C7281" w:rsidP="000948E7">
      <w:pPr>
        <w:spacing w:after="0" w:line="360" w:lineRule="auto"/>
        <w:jc w:val="both"/>
        <w:rPr>
          <w:rFonts w:ascii="Times New Roman" w:eastAsia="Times New Roman" w:hAnsi="Times New Roman" w:cs="Times New Roman"/>
          <w:color w:val="222222"/>
          <w:sz w:val="24"/>
          <w:szCs w:val="24"/>
          <w:lang w:eastAsia="el-GR"/>
        </w:rPr>
      </w:pPr>
    </w:p>
    <w:p w14:paraId="1DE893DA" w14:textId="15F3B1A1" w:rsidR="008C7281" w:rsidRPr="00E36734" w:rsidRDefault="00694711" w:rsidP="006D0D98">
      <w:pPr>
        <w:spacing w:after="0" w:line="360" w:lineRule="auto"/>
        <w:jc w:val="both"/>
        <w:rPr>
          <w:rFonts w:ascii="Times New Roman" w:eastAsia="Times New Roman" w:hAnsi="Times New Roman" w:cs="Times New Roman"/>
          <w:b/>
          <w:bCs/>
          <w:color w:val="222222"/>
          <w:sz w:val="24"/>
          <w:szCs w:val="24"/>
          <w:u w:val="single"/>
          <w:lang w:eastAsia="el-GR"/>
        </w:rPr>
      </w:pPr>
      <w:r w:rsidRPr="00E36734">
        <w:rPr>
          <w:rFonts w:ascii="Times New Roman" w:eastAsia="Times New Roman" w:hAnsi="Times New Roman" w:cs="Times New Roman"/>
          <w:b/>
          <w:bCs/>
          <w:color w:val="222222"/>
          <w:sz w:val="24"/>
          <w:szCs w:val="24"/>
          <w:u w:val="single"/>
          <w:lang w:eastAsia="el-GR"/>
        </w:rPr>
        <w:t>Επενδύσεις</w:t>
      </w:r>
    </w:p>
    <w:p w14:paraId="1D2789E0" w14:textId="419C37F7" w:rsidR="000948E7" w:rsidRPr="00E36734" w:rsidRDefault="006D0D98" w:rsidP="000948E7">
      <w:pPr>
        <w:spacing w:after="0" w:line="360" w:lineRule="auto"/>
        <w:jc w:val="both"/>
        <w:rPr>
          <w:rFonts w:ascii="Times New Roman" w:eastAsia="Times New Roman" w:hAnsi="Times New Roman" w:cs="Times New Roman"/>
          <w:color w:val="222222"/>
          <w:sz w:val="24"/>
          <w:szCs w:val="24"/>
          <w:lang w:eastAsia="el-GR"/>
        </w:rPr>
      </w:pPr>
      <w:r w:rsidRPr="00E36734">
        <w:rPr>
          <w:rFonts w:ascii="Times New Roman" w:eastAsia="Times New Roman" w:hAnsi="Times New Roman" w:cs="Times New Roman"/>
          <w:color w:val="222222"/>
          <w:sz w:val="24"/>
          <w:szCs w:val="24"/>
          <w:lang w:eastAsia="el-GR"/>
        </w:rPr>
        <w:t>Τ</w:t>
      </w:r>
      <w:r w:rsidR="000948E7" w:rsidRPr="00E36734">
        <w:rPr>
          <w:rFonts w:ascii="Times New Roman" w:eastAsia="Times New Roman" w:hAnsi="Times New Roman" w:cs="Times New Roman"/>
          <w:color w:val="222222"/>
          <w:sz w:val="24"/>
          <w:szCs w:val="24"/>
          <w:lang w:eastAsia="el-GR"/>
        </w:rPr>
        <w:t xml:space="preserve">ο </w:t>
      </w:r>
      <w:r w:rsidR="0024078D" w:rsidRPr="00E36734">
        <w:rPr>
          <w:rFonts w:ascii="Times New Roman" w:eastAsia="Times New Roman" w:hAnsi="Times New Roman" w:cs="Times New Roman"/>
          <w:color w:val="222222"/>
          <w:sz w:val="24"/>
          <w:szCs w:val="24"/>
          <w:lang w:eastAsia="el-GR"/>
        </w:rPr>
        <w:t>10,5</w:t>
      </w:r>
      <w:r w:rsidR="000948E7" w:rsidRPr="00E36734">
        <w:rPr>
          <w:rFonts w:ascii="Times New Roman" w:eastAsia="Times New Roman" w:hAnsi="Times New Roman" w:cs="Times New Roman"/>
          <w:color w:val="222222"/>
          <w:sz w:val="24"/>
          <w:szCs w:val="24"/>
          <w:lang w:eastAsia="el-GR"/>
        </w:rPr>
        <w:t xml:space="preserve">% των επιχειρήσεων προχώρησε σε επενδύσεις </w:t>
      </w:r>
      <w:r w:rsidRPr="00E36734">
        <w:rPr>
          <w:rFonts w:ascii="Times New Roman" w:eastAsia="Times New Roman" w:hAnsi="Times New Roman" w:cs="Times New Roman"/>
          <w:color w:val="222222"/>
          <w:sz w:val="24"/>
          <w:szCs w:val="24"/>
          <w:lang w:eastAsia="el-GR"/>
        </w:rPr>
        <w:t xml:space="preserve">το Β εξάμηνο του 2020, </w:t>
      </w:r>
      <w:r w:rsidR="000948E7" w:rsidRPr="00E36734">
        <w:rPr>
          <w:rFonts w:ascii="Times New Roman" w:eastAsia="Times New Roman" w:hAnsi="Times New Roman" w:cs="Times New Roman"/>
          <w:color w:val="222222"/>
          <w:sz w:val="24"/>
          <w:szCs w:val="24"/>
          <w:lang w:eastAsia="el-GR"/>
        </w:rPr>
        <w:t xml:space="preserve">έναντι </w:t>
      </w:r>
      <w:r w:rsidRPr="00E36734">
        <w:rPr>
          <w:rFonts w:ascii="Times New Roman" w:eastAsia="Times New Roman" w:hAnsi="Times New Roman" w:cs="Times New Roman"/>
          <w:color w:val="222222"/>
          <w:sz w:val="24"/>
          <w:szCs w:val="24"/>
          <w:lang w:eastAsia="el-GR"/>
        </w:rPr>
        <w:t xml:space="preserve">του </w:t>
      </w:r>
      <w:r w:rsidR="00E55E93" w:rsidRPr="00E36734">
        <w:rPr>
          <w:rFonts w:ascii="Times New Roman" w:eastAsia="Times New Roman" w:hAnsi="Times New Roman" w:cs="Times New Roman"/>
          <w:color w:val="222222"/>
          <w:sz w:val="24"/>
          <w:szCs w:val="24"/>
          <w:lang w:eastAsia="el-GR"/>
        </w:rPr>
        <w:t>16.2</w:t>
      </w:r>
      <w:r w:rsidR="000948E7" w:rsidRPr="00E36734">
        <w:rPr>
          <w:rFonts w:ascii="Times New Roman" w:eastAsia="Times New Roman" w:hAnsi="Times New Roman" w:cs="Times New Roman"/>
          <w:color w:val="222222"/>
          <w:sz w:val="24"/>
          <w:szCs w:val="24"/>
          <w:lang w:eastAsia="el-GR"/>
        </w:rPr>
        <w:t>% του αντίστοιχου περσινού διαστήματος (Γράφημα</w:t>
      </w:r>
      <w:r w:rsidR="00982B33" w:rsidRPr="00E36734">
        <w:rPr>
          <w:rFonts w:ascii="Times New Roman" w:eastAsia="Times New Roman" w:hAnsi="Times New Roman" w:cs="Times New Roman"/>
          <w:color w:val="222222"/>
          <w:sz w:val="24"/>
          <w:szCs w:val="24"/>
          <w:lang w:eastAsia="el-GR"/>
        </w:rPr>
        <w:t xml:space="preserve"> 11</w:t>
      </w:r>
      <w:r w:rsidR="000948E7" w:rsidRPr="00E36734">
        <w:rPr>
          <w:rFonts w:ascii="Times New Roman" w:eastAsia="Times New Roman" w:hAnsi="Times New Roman" w:cs="Times New Roman"/>
          <w:color w:val="222222"/>
          <w:sz w:val="24"/>
          <w:szCs w:val="24"/>
          <w:lang w:eastAsia="el-GR"/>
        </w:rPr>
        <w:t xml:space="preserve">). Οι επιχειρήσεις που δραστηριοποιούνται στον </w:t>
      </w:r>
      <w:r w:rsidR="00307DCA" w:rsidRPr="00E36734">
        <w:rPr>
          <w:rFonts w:ascii="Times New Roman" w:eastAsia="Times New Roman" w:hAnsi="Times New Roman" w:cs="Times New Roman"/>
          <w:color w:val="222222"/>
          <w:sz w:val="24"/>
          <w:szCs w:val="24"/>
          <w:lang w:eastAsia="el-GR"/>
        </w:rPr>
        <w:t>τομέα</w:t>
      </w:r>
      <w:r w:rsidR="000948E7" w:rsidRPr="00E36734">
        <w:rPr>
          <w:rFonts w:ascii="Times New Roman" w:eastAsia="Times New Roman" w:hAnsi="Times New Roman" w:cs="Times New Roman"/>
          <w:color w:val="222222"/>
          <w:sz w:val="24"/>
          <w:szCs w:val="24"/>
          <w:lang w:eastAsia="el-GR"/>
        </w:rPr>
        <w:t xml:space="preserve"> </w:t>
      </w:r>
      <w:r w:rsidR="00E55E93" w:rsidRPr="00E36734">
        <w:rPr>
          <w:rFonts w:ascii="Times New Roman" w:eastAsia="Times New Roman" w:hAnsi="Times New Roman" w:cs="Times New Roman"/>
          <w:color w:val="222222"/>
          <w:sz w:val="24"/>
          <w:szCs w:val="24"/>
          <w:lang w:eastAsia="el-GR"/>
        </w:rPr>
        <w:t>του εμπορίου</w:t>
      </w:r>
      <w:r w:rsidR="000948E7" w:rsidRPr="00E36734">
        <w:rPr>
          <w:rFonts w:ascii="Times New Roman" w:eastAsia="Times New Roman" w:hAnsi="Times New Roman" w:cs="Times New Roman"/>
          <w:color w:val="222222"/>
          <w:sz w:val="24"/>
          <w:szCs w:val="24"/>
          <w:lang w:eastAsia="el-GR"/>
        </w:rPr>
        <w:t xml:space="preserve"> καταγράφουν την καλύτερη επίδοση (</w:t>
      </w:r>
      <w:r w:rsidR="00E55E93" w:rsidRPr="00E36734">
        <w:rPr>
          <w:rFonts w:ascii="Times New Roman" w:eastAsia="Times New Roman" w:hAnsi="Times New Roman" w:cs="Times New Roman"/>
          <w:color w:val="222222"/>
          <w:sz w:val="24"/>
          <w:szCs w:val="24"/>
          <w:lang w:eastAsia="el-GR"/>
        </w:rPr>
        <w:t>14,5</w:t>
      </w:r>
      <w:r w:rsidR="000948E7" w:rsidRPr="00E36734">
        <w:rPr>
          <w:rFonts w:ascii="Times New Roman" w:eastAsia="Times New Roman" w:hAnsi="Times New Roman" w:cs="Times New Roman"/>
          <w:color w:val="222222"/>
          <w:sz w:val="24"/>
          <w:szCs w:val="24"/>
          <w:lang w:eastAsia="el-GR"/>
        </w:rPr>
        <w:t>%) έναντι των υπηρεσιών (</w:t>
      </w:r>
      <w:r w:rsidR="00E55E93" w:rsidRPr="00E36734">
        <w:rPr>
          <w:rFonts w:ascii="Times New Roman" w:eastAsia="Times New Roman" w:hAnsi="Times New Roman" w:cs="Times New Roman"/>
          <w:color w:val="222222"/>
          <w:sz w:val="24"/>
          <w:szCs w:val="24"/>
          <w:lang w:eastAsia="el-GR"/>
        </w:rPr>
        <w:t>9</w:t>
      </w:r>
      <w:r w:rsidR="000948E7" w:rsidRPr="00E36734">
        <w:rPr>
          <w:rFonts w:ascii="Times New Roman" w:eastAsia="Times New Roman" w:hAnsi="Times New Roman" w:cs="Times New Roman"/>
          <w:color w:val="222222"/>
          <w:sz w:val="24"/>
          <w:szCs w:val="24"/>
          <w:lang w:eastAsia="el-GR"/>
        </w:rPr>
        <w:t xml:space="preserve">%) και </w:t>
      </w:r>
      <w:r w:rsidR="00E55E93" w:rsidRPr="00E36734">
        <w:rPr>
          <w:rFonts w:ascii="Times New Roman" w:eastAsia="Times New Roman" w:hAnsi="Times New Roman" w:cs="Times New Roman"/>
          <w:color w:val="222222"/>
          <w:sz w:val="24"/>
          <w:szCs w:val="24"/>
          <w:lang w:eastAsia="el-GR"/>
        </w:rPr>
        <w:t>της μεταποίησης</w:t>
      </w:r>
      <w:r w:rsidR="000948E7" w:rsidRPr="00E36734">
        <w:rPr>
          <w:rFonts w:ascii="Times New Roman" w:eastAsia="Times New Roman" w:hAnsi="Times New Roman" w:cs="Times New Roman"/>
          <w:color w:val="222222"/>
          <w:sz w:val="24"/>
          <w:szCs w:val="24"/>
          <w:lang w:eastAsia="el-GR"/>
        </w:rPr>
        <w:t xml:space="preserve"> (</w:t>
      </w:r>
      <w:r w:rsidR="00E55E93" w:rsidRPr="00E36734">
        <w:rPr>
          <w:rFonts w:ascii="Times New Roman" w:eastAsia="Times New Roman" w:hAnsi="Times New Roman" w:cs="Times New Roman"/>
          <w:color w:val="222222"/>
          <w:sz w:val="24"/>
          <w:szCs w:val="24"/>
          <w:lang w:eastAsia="el-GR"/>
        </w:rPr>
        <w:t>6,7</w:t>
      </w:r>
      <w:r w:rsidR="000948E7" w:rsidRPr="00E36734">
        <w:rPr>
          <w:rFonts w:ascii="Times New Roman" w:eastAsia="Times New Roman" w:hAnsi="Times New Roman" w:cs="Times New Roman"/>
          <w:color w:val="222222"/>
          <w:sz w:val="24"/>
          <w:szCs w:val="24"/>
          <w:lang w:eastAsia="el-GR"/>
        </w:rPr>
        <w:t xml:space="preserve">%). </w:t>
      </w:r>
      <w:r w:rsidR="00E55E93" w:rsidRPr="00E36734">
        <w:rPr>
          <w:rFonts w:ascii="Times New Roman" w:eastAsia="Times New Roman" w:hAnsi="Times New Roman" w:cs="Times New Roman"/>
          <w:color w:val="222222"/>
          <w:sz w:val="24"/>
          <w:szCs w:val="24"/>
          <w:lang w:eastAsia="el-GR"/>
        </w:rPr>
        <w:t>Επιπλέον τις καλύτερες επιδόσεις</w:t>
      </w:r>
      <w:r w:rsidRPr="00E36734">
        <w:rPr>
          <w:rFonts w:ascii="Times New Roman" w:eastAsia="Times New Roman" w:hAnsi="Times New Roman" w:cs="Times New Roman"/>
          <w:color w:val="222222"/>
          <w:sz w:val="24"/>
          <w:szCs w:val="24"/>
          <w:lang w:eastAsia="el-GR"/>
        </w:rPr>
        <w:t>,</w:t>
      </w:r>
      <w:r w:rsidR="00E55E93" w:rsidRPr="00E36734">
        <w:rPr>
          <w:rFonts w:ascii="Times New Roman" w:eastAsia="Times New Roman" w:hAnsi="Times New Roman" w:cs="Times New Roman"/>
          <w:color w:val="222222"/>
          <w:sz w:val="24"/>
          <w:szCs w:val="24"/>
          <w:lang w:eastAsia="el-GR"/>
        </w:rPr>
        <w:t xml:space="preserve"> με διαφορά μάλιστα τουλάχιστον 10 ποσοστιαίων μονάδων</w:t>
      </w:r>
      <w:r w:rsidR="00DC1A1E" w:rsidRPr="00E36734">
        <w:rPr>
          <w:rFonts w:ascii="Times New Roman" w:eastAsia="Times New Roman" w:hAnsi="Times New Roman" w:cs="Times New Roman"/>
          <w:color w:val="222222"/>
          <w:sz w:val="24"/>
          <w:szCs w:val="24"/>
          <w:lang w:eastAsia="el-GR"/>
        </w:rPr>
        <w:t xml:space="preserve"> από τις υπόλοιπες κατηγορίες</w:t>
      </w:r>
      <w:r w:rsidRPr="00E36734">
        <w:rPr>
          <w:rFonts w:ascii="Times New Roman" w:eastAsia="Times New Roman" w:hAnsi="Times New Roman" w:cs="Times New Roman"/>
          <w:color w:val="222222"/>
          <w:sz w:val="24"/>
          <w:szCs w:val="24"/>
          <w:lang w:eastAsia="el-GR"/>
        </w:rPr>
        <w:t>,</w:t>
      </w:r>
      <w:r w:rsidR="00DC1A1E" w:rsidRPr="00E36734">
        <w:rPr>
          <w:rFonts w:ascii="Times New Roman" w:eastAsia="Times New Roman" w:hAnsi="Times New Roman" w:cs="Times New Roman"/>
          <w:color w:val="222222"/>
          <w:sz w:val="24"/>
          <w:szCs w:val="24"/>
          <w:lang w:eastAsia="el-GR"/>
        </w:rPr>
        <w:t xml:space="preserve"> καταγράφουν οι επιχειρήσεις με ετήσιο κύκλο εργασιών πάνω από 300.000 € (22,5%).</w:t>
      </w:r>
    </w:p>
    <w:p w14:paraId="642441F1" w14:textId="77777777" w:rsidR="000948E7" w:rsidRPr="00E36734" w:rsidRDefault="000948E7" w:rsidP="000948E7">
      <w:pPr>
        <w:spacing w:after="0" w:line="360" w:lineRule="auto"/>
        <w:rPr>
          <w:rFonts w:ascii="Times New Roman" w:eastAsiaTheme="majorEastAsia" w:hAnsi="Times New Roman" w:cs="Times New Roman"/>
          <w:b/>
          <w:color w:val="000000" w:themeColor="text1"/>
          <w:sz w:val="24"/>
          <w:szCs w:val="24"/>
        </w:rPr>
      </w:pPr>
    </w:p>
    <w:p w14:paraId="70C33F2B" w14:textId="2FFB4CF7" w:rsidR="000948E7" w:rsidRPr="00E36734" w:rsidRDefault="00A9257F" w:rsidP="000948E7">
      <w:pPr>
        <w:spacing w:after="0" w:line="360" w:lineRule="auto"/>
        <w:jc w:val="center"/>
        <w:rPr>
          <w:rFonts w:ascii="Times New Roman" w:hAnsi="Times New Roman" w:cs="Times New Roman"/>
          <w:b/>
          <w:sz w:val="24"/>
          <w:szCs w:val="24"/>
        </w:rPr>
      </w:pPr>
      <w:r w:rsidRPr="00E36734">
        <w:rPr>
          <w:rFonts w:ascii="Times New Roman" w:hAnsi="Times New Roman" w:cs="Times New Roman"/>
          <w:b/>
          <w:sz w:val="24"/>
          <w:szCs w:val="24"/>
        </w:rPr>
        <w:t>Γράφημα</w:t>
      </w:r>
      <w:r w:rsidR="00982B33" w:rsidRPr="00E36734">
        <w:rPr>
          <w:rFonts w:ascii="Times New Roman" w:hAnsi="Times New Roman" w:cs="Times New Roman"/>
          <w:b/>
          <w:sz w:val="24"/>
          <w:szCs w:val="24"/>
        </w:rPr>
        <w:t xml:space="preserve"> 11</w:t>
      </w:r>
    </w:p>
    <w:p w14:paraId="0D5B4D7C" w14:textId="08C8218F" w:rsidR="000948E7" w:rsidRPr="00E36734" w:rsidRDefault="000948E7" w:rsidP="000948E7">
      <w:pPr>
        <w:spacing w:after="0" w:line="360" w:lineRule="auto"/>
        <w:jc w:val="center"/>
        <w:rPr>
          <w:rFonts w:ascii="Times New Roman" w:hAnsi="Times New Roman" w:cs="Times New Roman"/>
          <w:b/>
          <w:sz w:val="24"/>
          <w:szCs w:val="24"/>
        </w:rPr>
      </w:pPr>
      <w:r w:rsidRPr="00E36734">
        <w:rPr>
          <w:rFonts w:ascii="Times New Roman" w:hAnsi="Times New Roman" w:cs="Times New Roman"/>
          <w:b/>
          <w:sz w:val="24"/>
          <w:szCs w:val="24"/>
        </w:rPr>
        <w:t>Επενδύσεις - Αποτίμηση εξαμήνου</w:t>
      </w:r>
    </w:p>
    <w:p w14:paraId="02B84114" w14:textId="77777777" w:rsidR="00A9257F" w:rsidRPr="00E36734" w:rsidRDefault="000948E7" w:rsidP="000948E7">
      <w:pPr>
        <w:spacing w:after="0" w:line="360" w:lineRule="auto"/>
        <w:jc w:val="center"/>
        <w:rPr>
          <w:rFonts w:ascii="Times New Roman" w:hAnsi="Times New Roman" w:cs="Times New Roman"/>
          <w:b/>
          <w:sz w:val="24"/>
          <w:szCs w:val="24"/>
        </w:rPr>
      </w:pPr>
      <w:r w:rsidRPr="00E36734">
        <w:rPr>
          <w:rFonts w:ascii="Times New Roman" w:hAnsi="Times New Roman" w:cs="Times New Roman"/>
          <w:b/>
          <w:sz w:val="24"/>
          <w:szCs w:val="24"/>
        </w:rPr>
        <w:t>Σύγκριση με προηγούμενες έρευνες</w:t>
      </w:r>
    </w:p>
    <w:p w14:paraId="71A54420" w14:textId="77777777" w:rsidR="00A9257F" w:rsidRPr="00E36734" w:rsidRDefault="000948E7" w:rsidP="000948E7">
      <w:pPr>
        <w:spacing w:after="0" w:line="360" w:lineRule="auto"/>
        <w:jc w:val="center"/>
        <w:rPr>
          <w:rFonts w:ascii="Times New Roman" w:hAnsi="Times New Roman" w:cs="Times New Roman"/>
          <w:b/>
          <w:sz w:val="24"/>
          <w:szCs w:val="24"/>
        </w:rPr>
      </w:pPr>
      <w:r w:rsidRPr="00E36734">
        <w:rPr>
          <w:rFonts w:ascii="Times New Roman" w:hAnsi="Times New Roman" w:cs="Times New Roman"/>
          <w:b/>
          <w:sz w:val="24"/>
          <w:szCs w:val="24"/>
        </w:rPr>
        <w:t>-όσοι έκαναν επενδύσεις-</w:t>
      </w:r>
    </w:p>
    <w:p w14:paraId="6C3371BE" w14:textId="77777777" w:rsidR="00A9257F" w:rsidRPr="00E36734" w:rsidRDefault="00A9257F" w:rsidP="00761263">
      <w:pPr>
        <w:spacing w:line="360" w:lineRule="auto"/>
        <w:jc w:val="both"/>
        <w:rPr>
          <w:rFonts w:ascii="Times New Roman" w:hAnsi="Times New Roman" w:cs="Times New Roman"/>
          <w:sz w:val="24"/>
          <w:szCs w:val="24"/>
        </w:rPr>
      </w:pPr>
      <w:r w:rsidRPr="00E36734">
        <w:rPr>
          <w:rFonts w:ascii="Times New Roman" w:hAnsi="Times New Roman" w:cs="Times New Roman"/>
          <w:noProof/>
          <w:sz w:val="24"/>
          <w:szCs w:val="24"/>
          <w:lang w:eastAsia="el-GR"/>
        </w:rPr>
        <w:drawing>
          <wp:inline distT="0" distB="0" distL="0" distR="0" wp14:anchorId="492B9D79" wp14:editId="3AD81189">
            <wp:extent cx="6457950" cy="2343150"/>
            <wp:effectExtent l="0" t="0" r="19050" b="19050"/>
            <wp:docPr id="12" name="Γράφημα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C9F6902" w14:textId="77777777" w:rsidR="00A9257F" w:rsidRPr="00E36734" w:rsidRDefault="00A9257F" w:rsidP="00DC1A1E">
      <w:pPr>
        <w:spacing w:after="0" w:line="360" w:lineRule="auto"/>
        <w:jc w:val="both"/>
        <w:rPr>
          <w:rFonts w:ascii="Times New Roman" w:eastAsia="Times New Roman" w:hAnsi="Times New Roman" w:cs="Times New Roman"/>
          <w:b/>
          <w:sz w:val="24"/>
          <w:szCs w:val="24"/>
          <w:u w:val="single"/>
          <w:lang w:eastAsia="el-GR"/>
        </w:rPr>
      </w:pPr>
    </w:p>
    <w:p w14:paraId="3E29F74E" w14:textId="0BB07C98" w:rsidR="00694711" w:rsidRPr="00E36734" w:rsidRDefault="00694711" w:rsidP="006D0D98">
      <w:pPr>
        <w:spacing w:after="0" w:line="360" w:lineRule="auto"/>
        <w:jc w:val="both"/>
        <w:rPr>
          <w:rFonts w:ascii="Times New Roman" w:eastAsia="Times New Roman" w:hAnsi="Times New Roman" w:cs="Times New Roman"/>
          <w:b/>
          <w:sz w:val="24"/>
          <w:szCs w:val="24"/>
          <w:u w:val="single"/>
          <w:lang w:eastAsia="el-GR"/>
        </w:rPr>
      </w:pPr>
      <w:r w:rsidRPr="00E36734">
        <w:rPr>
          <w:rFonts w:ascii="Times New Roman" w:eastAsia="Times New Roman" w:hAnsi="Times New Roman" w:cs="Times New Roman"/>
          <w:b/>
          <w:sz w:val="24"/>
          <w:szCs w:val="24"/>
          <w:u w:val="single"/>
          <w:lang w:eastAsia="el-GR"/>
        </w:rPr>
        <w:lastRenderedPageBreak/>
        <w:t>Απασχόληση</w:t>
      </w:r>
    </w:p>
    <w:p w14:paraId="5662987E" w14:textId="23EE59D8" w:rsidR="00D908C6" w:rsidRPr="00E36734" w:rsidRDefault="00547F34" w:rsidP="00D908C6">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Σ</w:t>
      </w:r>
      <w:r w:rsidR="000B2D69" w:rsidRPr="00E36734">
        <w:rPr>
          <w:rFonts w:ascii="Times New Roman" w:eastAsia="Times New Roman" w:hAnsi="Times New Roman" w:cs="Times New Roman"/>
          <w:bCs/>
          <w:sz w:val="24"/>
          <w:szCs w:val="24"/>
          <w:lang w:eastAsia="el-GR"/>
        </w:rPr>
        <w:t xml:space="preserve">την απασχόληση τα στοιχεία είναι καλύτερα σε σχέση με το Α εξάμηνο του 2020, με το ισοζύγιο ωστόσο να παραμένει αρνητικό. Το 6,2% των επιχειρήσεων δήλωσε πως αύξησε το προσωπικό του το Β εξάμηνο του 2020, </w:t>
      </w:r>
      <w:r w:rsidR="00F27C0E" w:rsidRPr="00E36734">
        <w:rPr>
          <w:rFonts w:ascii="Times New Roman" w:eastAsia="Times New Roman" w:hAnsi="Times New Roman" w:cs="Times New Roman"/>
          <w:bCs/>
          <w:sz w:val="24"/>
          <w:szCs w:val="24"/>
          <w:lang w:eastAsia="el-GR"/>
        </w:rPr>
        <w:t>έναντι</w:t>
      </w:r>
      <w:r w:rsidR="000B2D69" w:rsidRPr="00E36734">
        <w:rPr>
          <w:rFonts w:ascii="Times New Roman" w:eastAsia="Times New Roman" w:hAnsi="Times New Roman" w:cs="Times New Roman"/>
          <w:bCs/>
          <w:sz w:val="24"/>
          <w:szCs w:val="24"/>
          <w:lang w:eastAsia="el-GR"/>
        </w:rPr>
        <w:t xml:space="preserve"> του 9% που δήλωσε ότι το μείωσε και του 84,5% που το διατήρησε σταθερό. Από τα επιμέρους στοιχεία το εμπόριο παρουσιάζει θετικό ισοζύγιο</w:t>
      </w:r>
      <w:r w:rsidR="00F27C0E" w:rsidRPr="00E36734">
        <w:rPr>
          <w:rFonts w:ascii="Times New Roman" w:eastAsia="Times New Roman" w:hAnsi="Times New Roman" w:cs="Times New Roman"/>
          <w:bCs/>
          <w:sz w:val="24"/>
          <w:szCs w:val="24"/>
          <w:lang w:eastAsia="el-GR"/>
        </w:rPr>
        <w:t xml:space="preserve"> (8,1% αύξηση – 5,4% μείωση), έναντι του τομέα των υπηρεσιών (4,8% αύξηση -  11,2% μείωση) και της μεταποίησης (5,6% αύξηση – 10,8% μείωση)</w:t>
      </w:r>
      <w:r w:rsidR="00982B33" w:rsidRPr="00E36734">
        <w:rPr>
          <w:rFonts w:ascii="Times New Roman" w:eastAsia="Times New Roman" w:hAnsi="Times New Roman" w:cs="Times New Roman"/>
          <w:bCs/>
          <w:sz w:val="24"/>
          <w:szCs w:val="24"/>
          <w:lang w:eastAsia="el-GR"/>
        </w:rPr>
        <w:t xml:space="preserve"> (Γράφημα 12</w:t>
      </w:r>
      <w:r w:rsidR="00D908C6" w:rsidRPr="00E36734">
        <w:rPr>
          <w:rFonts w:ascii="Times New Roman" w:eastAsia="Times New Roman" w:hAnsi="Times New Roman" w:cs="Times New Roman"/>
          <w:bCs/>
          <w:sz w:val="24"/>
          <w:szCs w:val="24"/>
          <w:lang w:eastAsia="el-GR"/>
        </w:rPr>
        <w:t>)</w:t>
      </w:r>
      <w:r w:rsidR="00F27C0E" w:rsidRPr="00E36734">
        <w:rPr>
          <w:rFonts w:ascii="Times New Roman" w:eastAsia="Times New Roman" w:hAnsi="Times New Roman" w:cs="Times New Roman"/>
          <w:bCs/>
          <w:sz w:val="24"/>
          <w:szCs w:val="24"/>
          <w:lang w:eastAsia="el-GR"/>
        </w:rPr>
        <w:t xml:space="preserve">. </w:t>
      </w:r>
      <w:r w:rsidR="00D908C6" w:rsidRPr="00E36734">
        <w:rPr>
          <w:rFonts w:ascii="Times New Roman" w:eastAsia="Times New Roman" w:hAnsi="Times New Roman" w:cs="Times New Roman"/>
          <w:bCs/>
          <w:sz w:val="24"/>
          <w:szCs w:val="24"/>
          <w:lang w:eastAsia="el-GR"/>
        </w:rPr>
        <w:t>Τα ευρήματα αυτά συμβαδίζουν με εκείνα της ΕΛΣΤΑΤ</w:t>
      </w:r>
      <w:r w:rsidRPr="00E36734">
        <w:rPr>
          <w:rStyle w:val="ae"/>
          <w:rFonts w:ascii="Times New Roman" w:eastAsia="Times New Roman" w:hAnsi="Times New Roman" w:cs="Times New Roman"/>
          <w:bCs/>
          <w:sz w:val="24"/>
          <w:szCs w:val="24"/>
          <w:lang w:eastAsia="el-GR"/>
        </w:rPr>
        <w:footnoteReference w:id="3"/>
      </w:r>
      <w:r w:rsidR="00D908C6" w:rsidRPr="00E36734">
        <w:rPr>
          <w:rFonts w:ascii="Times New Roman" w:eastAsia="Times New Roman" w:hAnsi="Times New Roman" w:cs="Times New Roman"/>
          <w:bCs/>
          <w:sz w:val="24"/>
          <w:szCs w:val="24"/>
          <w:lang w:eastAsia="el-GR"/>
        </w:rPr>
        <w:t xml:space="preserve"> όπου φαίνεται ότι σε κλάδους του τομέα των υπηρεσιών και συγκεκριμένα στις δραστηριότητες παροχής υπηρεσιών καταλύματος και εστίασης το Δ τρίμηνο του 2020 οι θέσεις εργασίας μειώθηκαν κατά 43 περίπου χιλιάδες σε σχέση με το αντίστοιχο τρίμηνο του 2019. Αντίστοιχα στην μεταποίηση οι θέσεις εργασίας μειώθηκαν κατά περίπου 22 χιλιάδες ενώ από την άλλη μεριά στο χονδρικό και λιανικό εμπόριο αυξήθηκαν κατά 3,5 χιλιάδες. Όσον αφορά ειδικά </w:t>
      </w:r>
      <w:r w:rsidR="00E61F2C" w:rsidRPr="00E36734">
        <w:rPr>
          <w:rFonts w:ascii="Times New Roman" w:eastAsia="Times New Roman" w:hAnsi="Times New Roman" w:cs="Times New Roman"/>
          <w:bCs/>
          <w:sz w:val="24"/>
          <w:szCs w:val="24"/>
          <w:lang w:eastAsia="el-GR"/>
        </w:rPr>
        <w:t>σ</w:t>
      </w:r>
      <w:r w:rsidR="00D908C6" w:rsidRPr="00E36734">
        <w:rPr>
          <w:rFonts w:ascii="Times New Roman" w:eastAsia="Times New Roman" w:hAnsi="Times New Roman" w:cs="Times New Roman"/>
          <w:bCs/>
          <w:sz w:val="24"/>
          <w:szCs w:val="24"/>
          <w:lang w:eastAsia="el-GR"/>
        </w:rPr>
        <w:t>το κλάδο της εστίασης από τα στοιχεία της έρευνας προκύπτει ότι το 25% προχώρησε σε μείωση προσωπικού έναντι μόλις του 1,5% που έκανε προσλήψεις και του 72,1% που το διατήρησε σταθερό.</w:t>
      </w:r>
    </w:p>
    <w:p w14:paraId="1F810B71" w14:textId="77777777" w:rsidR="00D908C6" w:rsidRPr="00E36734" w:rsidRDefault="00D908C6" w:rsidP="00D908C6">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 xml:space="preserve">Πλέον αυτών από τα στοιχεία της έρευνας φαίνεται πως οι επιχειρήσεις που το ισοζύγιο προσλήψεων-αποχωρήσεων είναι θετικό συνδέεται με το ύψος κυρίως του κύκλου εργασιών. Συγκεκριμένα το 17,4% των επιχειρήσεων με ετήσιο τζίρο πάνω από 300.000€ προχώρησαν σε προσλήψεις έναντι του 7,9% που έκανε μειώσεις προσωπικού. </w:t>
      </w:r>
    </w:p>
    <w:p w14:paraId="48566F35" w14:textId="26307B83" w:rsidR="00D908C6" w:rsidRPr="00E36734" w:rsidRDefault="00D908C6" w:rsidP="00D908C6">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 xml:space="preserve">Τέλος, ένα σημαντικό ποσοστό της τάξης του 7,7% των επιχειρήσεων χωρίς </w:t>
      </w:r>
      <w:r w:rsidR="00E61F2C" w:rsidRPr="00E36734">
        <w:rPr>
          <w:rFonts w:ascii="Times New Roman" w:eastAsia="Times New Roman" w:hAnsi="Times New Roman" w:cs="Times New Roman"/>
          <w:bCs/>
          <w:sz w:val="24"/>
          <w:szCs w:val="24"/>
          <w:lang w:eastAsia="el-GR"/>
        </w:rPr>
        <w:t>προσωπικό</w:t>
      </w:r>
      <w:r w:rsidRPr="00E36734">
        <w:rPr>
          <w:rFonts w:ascii="Times New Roman" w:eastAsia="Times New Roman" w:hAnsi="Times New Roman" w:cs="Times New Roman"/>
          <w:bCs/>
          <w:sz w:val="24"/>
          <w:szCs w:val="24"/>
          <w:lang w:eastAsia="el-GR"/>
        </w:rPr>
        <w:t xml:space="preserve"> φαίνεται πως αποτελούν πρώην εργοδότες καθώς μείωσαν το προσωπικό τους το Β εξάμηνο του 2020. Τονίζεται πως επιχειρήσεις που απασχολούν εργαζομένους όταν αναγκάζονται να </w:t>
      </w:r>
      <w:r w:rsidR="00C83512" w:rsidRPr="00E36734">
        <w:rPr>
          <w:rFonts w:ascii="Times New Roman" w:eastAsia="Times New Roman" w:hAnsi="Times New Roman" w:cs="Times New Roman"/>
          <w:bCs/>
          <w:sz w:val="24"/>
          <w:szCs w:val="24"/>
          <w:lang w:eastAsia="el-GR"/>
        </w:rPr>
        <w:t>απωλέσουν</w:t>
      </w:r>
      <w:r w:rsidRPr="00E36734">
        <w:rPr>
          <w:rFonts w:ascii="Times New Roman" w:eastAsia="Times New Roman" w:hAnsi="Times New Roman" w:cs="Times New Roman"/>
          <w:bCs/>
          <w:sz w:val="24"/>
          <w:szCs w:val="24"/>
          <w:lang w:eastAsia="el-GR"/>
        </w:rPr>
        <w:t xml:space="preserve"> το σύνολο του προσωπικό</w:t>
      </w:r>
      <w:r w:rsidRPr="00E36734">
        <w:t xml:space="preserve"> </w:t>
      </w:r>
      <w:r w:rsidRPr="00E36734">
        <w:rPr>
          <w:rFonts w:ascii="Times New Roman" w:eastAsia="Times New Roman" w:hAnsi="Times New Roman" w:cs="Times New Roman"/>
          <w:bCs/>
          <w:sz w:val="24"/>
          <w:szCs w:val="24"/>
          <w:lang w:eastAsia="el-GR"/>
        </w:rPr>
        <w:t>τους συνήθως αντιμετωπίζουν πολύ σοβαρά προβλήματα βιωσιμότητας. Με άλλα λόγια βρίσκονται πολύ κοντά σε ένα ενδεχόμενο λουκέτο.</w:t>
      </w:r>
    </w:p>
    <w:p w14:paraId="4E9D99DF" w14:textId="77777777" w:rsidR="00E61F2C" w:rsidRPr="00E36734" w:rsidRDefault="00E61F2C" w:rsidP="000B2D69">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 xml:space="preserve">Όσον αφορά τα μέτρα στήριξης της απασχόλησης που έλαβε η κυβέρνηση, </w:t>
      </w:r>
      <w:r w:rsidR="00694711" w:rsidRPr="00E36734">
        <w:rPr>
          <w:rFonts w:ascii="Times New Roman" w:eastAsia="Times New Roman" w:hAnsi="Times New Roman" w:cs="Times New Roman"/>
          <w:bCs/>
          <w:sz w:val="24"/>
          <w:szCs w:val="24"/>
          <w:lang w:eastAsia="el-GR"/>
        </w:rPr>
        <w:t xml:space="preserve">το </w:t>
      </w:r>
      <w:r w:rsidR="008E3E65" w:rsidRPr="00E36734">
        <w:rPr>
          <w:rFonts w:ascii="Times New Roman" w:eastAsia="Times New Roman" w:hAnsi="Times New Roman" w:cs="Times New Roman"/>
          <w:bCs/>
          <w:sz w:val="24"/>
          <w:szCs w:val="24"/>
          <w:lang w:eastAsia="el-GR"/>
        </w:rPr>
        <w:t xml:space="preserve">55,6% των επιχειρήσεων που απασχολούν προσωπικό έκαναν χρήση του μέτρου της αναστολής των συμβάσεων εργασίας, το 13,3% </w:t>
      </w:r>
      <w:r w:rsidR="00D908C6" w:rsidRPr="00E36734">
        <w:rPr>
          <w:rFonts w:ascii="Times New Roman" w:eastAsia="Times New Roman" w:hAnsi="Times New Roman" w:cs="Times New Roman"/>
          <w:bCs/>
          <w:sz w:val="24"/>
          <w:szCs w:val="24"/>
          <w:lang w:eastAsia="el-GR"/>
        </w:rPr>
        <w:t>αξιοποίησε</w:t>
      </w:r>
      <w:r w:rsidR="008E3E65" w:rsidRPr="00E36734">
        <w:rPr>
          <w:rFonts w:ascii="Times New Roman" w:eastAsia="Times New Roman" w:hAnsi="Times New Roman" w:cs="Times New Roman"/>
          <w:bCs/>
          <w:sz w:val="24"/>
          <w:szCs w:val="24"/>
          <w:lang w:eastAsia="el-GR"/>
        </w:rPr>
        <w:t xml:space="preserve"> το πρόγραμμα ΣΥΝ-ΕΡΓΑΣΙΑ, το 4,3% αξιοποίησε κάποιο από το προγράμματα</w:t>
      </w:r>
      <w:r w:rsidR="006D0D98" w:rsidRPr="00E36734">
        <w:rPr>
          <w:rFonts w:ascii="Times New Roman" w:eastAsia="Times New Roman" w:hAnsi="Times New Roman" w:cs="Times New Roman"/>
          <w:bCs/>
          <w:sz w:val="24"/>
          <w:szCs w:val="24"/>
          <w:lang w:eastAsia="el-GR"/>
        </w:rPr>
        <w:t xml:space="preserve"> δημιουργίας νέων θέσεων εργασίας</w:t>
      </w:r>
      <w:r w:rsidR="008E3E65" w:rsidRPr="00E36734">
        <w:rPr>
          <w:rFonts w:ascii="Times New Roman" w:eastAsia="Times New Roman" w:hAnsi="Times New Roman" w:cs="Times New Roman"/>
          <w:bCs/>
          <w:sz w:val="24"/>
          <w:szCs w:val="24"/>
          <w:lang w:eastAsia="el-GR"/>
        </w:rPr>
        <w:t xml:space="preserve"> του ΟΕΑΔ και το 3%</w:t>
      </w:r>
      <w:r w:rsidR="006D0D98" w:rsidRPr="00E36734">
        <w:rPr>
          <w:rFonts w:ascii="Times New Roman" w:eastAsia="Times New Roman" w:hAnsi="Times New Roman" w:cs="Times New Roman"/>
          <w:bCs/>
          <w:sz w:val="24"/>
          <w:szCs w:val="24"/>
          <w:lang w:eastAsia="el-GR"/>
        </w:rPr>
        <w:t xml:space="preserve"> έκανε χρήση</w:t>
      </w:r>
      <w:r w:rsidR="008E3E65" w:rsidRPr="00E36734">
        <w:rPr>
          <w:rFonts w:ascii="Times New Roman" w:eastAsia="Times New Roman" w:hAnsi="Times New Roman" w:cs="Times New Roman"/>
          <w:bCs/>
          <w:sz w:val="24"/>
          <w:szCs w:val="24"/>
          <w:lang w:eastAsia="el-GR"/>
        </w:rPr>
        <w:t xml:space="preserve"> του προγράμματος δημιουργίας 100.000</w:t>
      </w:r>
      <w:r w:rsidR="006D0D98" w:rsidRPr="00E36734">
        <w:rPr>
          <w:rFonts w:ascii="Times New Roman" w:eastAsia="Times New Roman" w:hAnsi="Times New Roman" w:cs="Times New Roman"/>
          <w:bCs/>
          <w:sz w:val="24"/>
          <w:szCs w:val="24"/>
          <w:lang w:eastAsia="el-GR"/>
        </w:rPr>
        <w:t xml:space="preserve"> νέων</w:t>
      </w:r>
      <w:r w:rsidR="008E3E65" w:rsidRPr="00E36734">
        <w:rPr>
          <w:rFonts w:ascii="Times New Roman" w:eastAsia="Times New Roman" w:hAnsi="Times New Roman" w:cs="Times New Roman"/>
          <w:bCs/>
          <w:sz w:val="24"/>
          <w:szCs w:val="24"/>
          <w:lang w:eastAsia="el-GR"/>
        </w:rPr>
        <w:t xml:space="preserve"> θέσεων εργασίας. </w:t>
      </w:r>
      <w:r w:rsidR="00985484" w:rsidRPr="00E36734">
        <w:rPr>
          <w:rFonts w:ascii="Times New Roman" w:eastAsia="Times New Roman" w:hAnsi="Times New Roman" w:cs="Times New Roman"/>
          <w:bCs/>
          <w:sz w:val="24"/>
          <w:szCs w:val="24"/>
          <w:lang w:eastAsia="el-GR"/>
        </w:rPr>
        <w:t>Στα επιμέρους στοιχεία το 75,8% των επιχειρήσεων που ανέστειλαν την λειτουργία τους με κρατική εντολή έκαναν χρήση της αναστολής συμβάσεων εργασίας και αντίστοιχα το 58,6% των πληττόμενων βάσει ΚΑΔ επιχειρήσεων. Την αναστολή συμβάσεων εργασίας αξιοποίησε και το 77,6% των επιχειρήσεων εστίασης.</w:t>
      </w:r>
      <w:r w:rsidRPr="00E36734">
        <w:rPr>
          <w:rFonts w:ascii="Times New Roman" w:eastAsia="Times New Roman" w:hAnsi="Times New Roman" w:cs="Times New Roman"/>
          <w:bCs/>
          <w:sz w:val="24"/>
          <w:szCs w:val="24"/>
          <w:lang w:eastAsia="el-GR"/>
        </w:rPr>
        <w:t xml:space="preserve"> </w:t>
      </w:r>
    </w:p>
    <w:p w14:paraId="0D59CDAD" w14:textId="73199EA0" w:rsidR="00D908C6" w:rsidRPr="00E36734" w:rsidRDefault="0040254E" w:rsidP="000B2D69">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lastRenderedPageBreak/>
        <w:t xml:space="preserve">Από τα παραπάνω φαίνεται πως έχει γίνει </w:t>
      </w:r>
      <w:r w:rsidR="00E61F2C" w:rsidRPr="00E36734">
        <w:rPr>
          <w:rFonts w:ascii="Times New Roman" w:eastAsia="Times New Roman" w:hAnsi="Times New Roman" w:cs="Times New Roman"/>
          <w:bCs/>
          <w:sz w:val="24"/>
          <w:szCs w:val="24"/>
          <w:lang w:eastAsia="el-GR"/>
        </w:rPr>
        <w:t xml:space="preserve">ευρεία </w:t>
      </w:r>
      <w:r w:rsidRPr="00E36734">
        <w:rPr>
          <w:rFonts w:ascii="Times New Roman" w:eastAsia="Times New Roman" w:hAnsi="Times New Roman" w:cs="Times New Roman"/>
          <w:bCs/>
          <w:sz w:val="24"/>
          <w:szCs w:val="24"/>
          <w:lang w:eastAsia="el-GR"/>
        </w:rPr>
        <w:t>αξιοποίηση</w:t>
      </w:r>
      <w:r w:rsidR="00E61F2C" w:rsidRPr="00E36734">
        <w:rPr>
          <w:rFonts w:ascii="Times New Roman" w:eastAsia="Times New Roman" w:hAnsi="Times New Roman" w:cs="Times New Roman"/>
          <w:bCs/>
          <w:sz w:val="24"/>
          <w:szCs w:val="24"/>
          <w:lang w:eastAsia="el-GR"/>
        </w:rPr>
        <w:t xml:space="preserve"> των μέτρων που έλαβε η κυβέρνηση για την συγκράτηση της απασχόλησης</w:t>
      </w:r>
      <w:r w:rsidRPr="00E36734">
        <w:rPr>
          <w:rFonts w:ascii="Times New Roman" w:eastAsia="Times New Roman" w:hAnsi="Times New Roman" w:cs="Times New Roman"/>
          <w:bCs/>
          <w:sz w:val="24"/>
          <w:szCs w:val="24"/>
          <w:lang w:eastAsia="el-GR"/>
        </w:rPr>
        <w:t xml:space="preserve"> και ως εκ τούτου φαίνεται ότι τα μέτρα αυτά έχουν πετύχει τον βασικό τους σκοπό για το 2020.</w:t>
      </w:r>
      <w:r w:rsidR="00E61F2C" w:rsidRPr="00E36734">
        <w:rPr>
          <w:rFonts w:ascii="Times New Roman" w:eastAsia="Times New Roman" w:hAnsi="Times New Roman" w:cs="Times New Roman"/>
          <w:bCs/>
          <w:sz w:val="24"/>
          <w:szCs w:val="24"/>
          <w:lang w:eastAsia="el-GR"/>
        </w:rPr>
        <w:t xml:space="preserve"> </w:t>
      </w:r>
    </w:p>
    <w:p w14:paraId="7645ED3B" w14:textId="2387BFCD" w:rsidR="00F27C0E" w:rsidRPr="00E36734" w:rsidRDefault="00982B33" w:rsidP="006D0D98">
      <w:pPr>
        <w:spacing w:after="0" w:line="360" w:lineRule="auto"/>
        <w:jc w:val="center"/>
        <w:rPr>
          <w:rFonts w:ascii="Times New Roman" w:eastAsia="Times New Roman" w:hAnsi="Times New Roman" w:cs="Times New Roman"/>
          <w:b/>
          <w:sz w:val="24"/>
          <w:szCs w:val="24"/>
          <w:lang w:val="en-US" w:eastAsia="el-GR"/>
        </w:rPr>
      </w:pPr>
      <w:r w:rsidRPr="00E36734">
        <w:rPr>
          <w:rFonts w:ascii="Times New Roman" w:eastAsia="Times New Roman" w:hAnsi="Times New Roman" w:cs="Times New Roman"/>
          <w:b/>
          <w:sz w:val="24"/>
          <w:szCs w:val="24"/>
          <w:lang w:eastAsia="el-GR"/>
        </w:rPr>
        <w:t>Γράφημα 1</w:t>
      </w:r>
      <w:r w:rsidRPr="00E36734">
        <w:rPr>
          <w:rFonts w:ascii="Times New Roman" w:eastAsia="Times New Roman" w:hAnsi="Times New Roman" w:cs="Times New Roman"/>
          <w:b/>
          <w:sz w:val="24"/>
          <w:szCs w:val="24"/>
          <w:lang w:val="en-US" w:eastAsia="el-GR"/>
        </w:rPr>
        <w:t>2</w:t>
      </w:r>
    </w:p>
    <w:p w14:paraId="3DF4DAE6" w14:textId="2BB267D4" w:rsidR="00F27C0E" w:rsidRPr="00E36734" w:rsidRDefault="00F27C0E" w:rsidP="00F27C0E">
      <w:pPr>
        <w:spacing w:after="0" w:line="360" w:lineRule="auto"/>
        <w:jc w:val="center"/>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sz w:val="24"/>
          <w:szCs w:val="24"/>
          <w:lang w:eastAsia="el-GR"/>
        </w:rPr>
        <w:t xml:space="preserve">ΑΠΑΣΧΟΛΗΣΗ </w:t>
      </w:r>
      <w:r w:rsidRPr="00E36734">
        <w:rPr>
          <w:rFonts w:ascii="Times New Roman" w:eastAsia="Times New Roman" w:hAnsi="Times New Roman" w:cs="Times New Roman"/>
          <w:b/>
          <w:sz w:val="24"/>
          <w:szCs w:val="24"/>
          <w:lang w:eastAsia="el-GR"/>
        </w:rPr>
        <w:br/>
        <w:t xml:space="preserve"> - Ανά κατηγορία -</w:t>
      </w:r>
    </w:p>
    <w:p w14:paraId="0E9DECBC" w14:textId="2D2FA0A3" w:rsidR="00F27C0E" w:rsidRPr="00E36734" w:rsidRDefault="00F27C0E" w:rsidP="000B2D69">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noProof/>
          <w:sz w:val="24"/>
          <w:szCs w:val="24"/>
          <w:lang w:eastAsia="el-GR"/>
        </w:rPr>
        <w:drawing>
          <wp:inline distT="0" distB="0" distL="0" distR="0" wp14:anchorId="17326868" wp14:editId="1E0F2C9E">
            <wp:extent cx="6570980" cy="3547110"/>
            <wp:effectExtent l="0" t="0" r="1270" b="15240"/>
            <wp:docPr id="4"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7EB66F4" w14:textId="7CD97C99" w:rsidR="00821B05" w:rsidRPr="00E36734" w:rsidRDefault="00821B05" w:rsidP="00821B05">
      <w:pPr>
        <w:spacing w:after="0" w:line="360" w:lineRule="auto"/>
        <w:jc w:val="both"/>
        <w:rPr>
          <w:rFonts w:ascii="Times New Roman" w:eastAsia="Times New Roman" w:hAnsi="Times New Roman" w:cs="Times New Roman"/>
          <w:b/>
          <w:sz w:val="24"/>
          <w:szCs w:val="24"/>
          <w:u w:val="single"/>
          <w:lang w:eastAsia="el-GR"/>
        </w:rPr>
      </w:pPr>
    </w:p>
    <w:p w14:paraId="475014C2" w14:textId="77777777" w:rsidR="00C05413" w:rsidRPr="00E36734" w:rsidRDefault="00C05413" w:rsidP="00821B05">
      <w:pPr>
        <w:spacing w:after="0" w:line="360" w:lineRule="auto"/>
        <w:jc w:val="both"/>
        <w:rPr>
          <w:rFonts w:ascii="Times New Roman" w:eastAsia="Times New Roman" w:hAnsi="Times New Roman" w:cs="Times New Roman"/>
          <w:b/>
          <w:sz w:val="24"/>
          <w:szCs w:val="24"/>
          <w:u w:val="single"/>
          <w:lang w:eastAsia="el-GR"/>
        </w:rPr>
      </w:pPr>
    </w:p>
    <w:p w14:paraId="77FA658B" w14:textId="0B82B456" w:rsidR="00A9257F" w:rsidRPr="00E36734" w:rsidRDefault="00A9257F" w:rsidP="00761263">
      <w:pPr>
        <w:pStyle w:val="a5"/>
        <w:numPr>
          <w:ilvl w:val="0"/>
          <w:numId w:val="1"/>
        </w:numPr>
        <w:spacing w:after="0" w:line="360" w:lineRule="auto"/>
        <w:jc w:val="both"/>
        <w:rPr>
          <w:rFonts w:ascii="Times New Roman" w:eastAsia="Times New Roman" w:hAnsi="Times New Roman" w:cs="Times New Roman"/>
          <w:b/>
          <w:sz w:val="24"/>
          <w:szCs w:val="24"/>
          <w:u w:val="single"/>
          <w:lang w:eastAsia="el-GR"/>
        </w:rPr>
      </w:pPr>
      <w:r w:rsidRPr="00E36734">
        <w:rPr>
          <w:rFonts w:ascii="Times New Roman" w:eastAsia="Times New Roman" w:hAnsi="Times New Roman" w:cs="Times New Roman"/>
          <w:b/>
          <w:sz w:val="24"/>
          <w:szCs w:val="24"/>
          <w:u w:val="single"/>
          <w:lang w:eastAsia="el-GR"/>
        </w:rPr>
        <w:t xml:space="preserve">ΠΡΟΒΛΕΨΕΙΣ ΓΙΑ ΤΟ </w:t>
      </w:r>
      <w:r w:rsidR="00C05413" w:rsidRPr="00E36734">
        <w:rPr>
          <w:rFonts w:ascii="Times New Roman" w:eastAsia="Times New Roman" w:hAnsi="Times New Roman" w:cs="Times New Roman"/>
          <w:b/>
          <w:sz w:val="24"/>
          <w:szCs w:val="24"/>
          <w:u w:val="single"/>
          <w:lang w:eastAsia="el-GR"/>
        </w:rPr>
        <w:t>Α</w:t>
      </w:r>
      <w:r w:rsidRPr="00E36734">
        <w:rPr>
          <w:rFonts w:ascii="Times New Roman" w:eastAsia="Times New Roman" w:hAnsi="Times New Roman" w:cs="Times New Roman"/>
          <w:b/>
          <w:sz w:val="24"/>
          <w:szCs w:val="24"/>
          <w:u w:val="single"/>
          <w:lang w:eastAsia="el-GR"/>
        </w:rPr>
        <w:t xml:space="preserve"> ΕΞΑΜΗΝΟ 202</w:t>
      </w:r>
      <w:r w:rsidR="00C05413" w:rsidRPr="00E36734">
        <w:rPr>
          <w:rFonts w:ascii="Times New Roman" w:eastAsia="Times New Roman" w:hAnsi="Times New Roman" w:cs="Times New Roman"/>
          <w:b/>
          <w:sz w:val="24"/>
          <w:szCs w:val="24"/>
          <w:u w:val="single"/>
          <w:lang w:eastAsia="el-GR"/>
        </w:rPr>
        <w:t>1</w:t>
      </w:r>
    </w:p>
    <w:p w14:paraId="5C167058" w14:textId="510757B7" w:rsidR="000948E7" w:rsidRPr="00E36734" w:rsidRDefault="00C05413" w:rsidP="00761263">
      <w:p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Οι προσδοκίες για το Α εξάμηνο του 2021 παραμένουν</w:t>
      </w:r>
      <w:r w:rsidR="00411D45" w:rsidRPr="00E36734">
        <w:rPr>
          <w:rFonts w:ascii="Times New Roman" w:eastAsia="Times New Roman" w:hAnsi="Times New Roman" w:cs="Times New Roman"/>
          <w:sz w:val="24"/>
          <w:szCs w:val="24"/>
          <w:lang w:eastAsia="el-GR"/>
        </w:rPr>
        <w:t xml:space="preserve"> για την πλειοψηφία των μικρών και πολύ μικρών επιχειρήσεων</w:t>
      </w:r>
      <w:r w:rsidRPr="00E36734">
        <w:rPr>
          <w:rFonts w:ascii="Times New Roman" w:eastAsia="Times New Roman" w:hAnsi="Times New Roman" w:cs="Times New Roman"/>
          <w:sz w:val="24"/>
          <w:szCs w:val="24"/>
          <w:lang w:eastAsia="el-GR"/>
        </w:rPr>
        <w:t xml:space="preserve"> απαισιόδοξες σε όλους τα βασικούς οικονομικούς δείκτες με εξαίρεση την απασχόληση.</w:t>
      </w:r>
      <w:r w:rsidR="00411D45" w:rsidRPr="00E36734">
        <w:rPr>
          <w:rFonts w:ascii="Times New Roman" w:eastAsia="Times New Roman" w:hAnsi="Times New Roman" w:cs="Times New Roman"/>
          <w:sz w:val="24"/>
          <w:szCs w:val="24"/>
          <w:lang w:eastAsia="el-GR"/>
        </w:rPr>
        <w:t xml:space="preserve"> Μάλιστα σε σύγκριση με τις προσδοκίες της προηγούμενης εξαμηνιαίας έρευνας του ΙΜΕ ΓΣΕΒΕΕ φαίνεται πως υπάρχει μια αύξηση του ποσοστού των επιχειρήσεων που περιμένουν περαιτέρω επιδείνωση περίπου 5 μονάδων.</w:t>
      </w:r>
    </w:p>
    <w:p w14:paraId="2F788E75" w14:textId="228CB448" w:rsidR="00A77A8A" w:rsidRPr="00E36734" w:rsidRDefault="00411D45" w:rsidP="00761263">
      <w:p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 xml:space="preserve">Ειδικότερα το </w:t>
      </w:r>
      <w:r w:rsidR="00A77A8A" w:rsidRPr="00E36734">
        <w:rPr>
          <w:rFonts w:ascii="Times New Roman" w:eastAsia="Times New Roman" w:hAnsi="Times New Roman" w:cs="Times New Roman"/>
          <w:sz w:val="24"/>
          <w:szCs w:val="24"/>
          <w:lang w:eastAsia="el-GR"/>
        </w:rPr>
        <w:t>53,6% των επιχειρήσεων περιμένει μείωση του κύκλου εργασιών, το 52,8% μείωση της ζήτησης, το 54,6% μείωση των παραγγελιών, το 56,7</w:t>
      </w:r>
      <w:r w:rsidR="000D303E" w:rsidRPr="00E36734">
        <w:rPr>
          <w:rFonts w:ascii="Times New Roman" w:eastAsia="Times New Roman" w:hAnsi="Times New Roman" w:cs="Times New Roman"/>
          <w:sz w:val="24"/>
          <w:szCs w:val="24"/>
          <w:lang w:eastAsia="el-GR"/>
        </w:rPr>
        <w:t>%</w:t>
      </w:r>
      <w:r w:rsidR="00A77A8A" w:rsidRPr="00E36734">
        <w:rPr>
          <w:rFonts w:ascii="Times New Roman" w:eastAsia="Times New Roman" w:hAnsi="Times New Roman" w:cs="Times New Roman"/>
          <w:sz w:val="24"/>
          <w:szCs w:val="24"/>
          <w:lang w:eastAsia="el-GR"/>
        </w:rPr>
        <w:t xml:space="preserve"> μείωση της ρευστότητα</w:t>
      </w:r>
      <w:r w:rsidR="000D303E" w:rsidRPr="00E36734">
        <w:rPr>
          <w:rFonts w:ascii="Times New Roman" w:eastAsia="Times New Roman" w:hAnsi="Times New Roman" w:cs="Times New Roman"/>
          <w:sz w:val="24"/>
          <w:szCs w:val="24"/>
          <w:lang w:eastAsia="el-GR"/>
        </w:rPr>
        <w:t>ς</w:t>
      </w:r>
      <w:r w:rsidR="00A77A8A" w:rsidRPr="00E36734">
        <w:rPr>
          <w:rFonts w:ascii="Times New Roman" w:eastAsia="Times New Roman" w:hAnsi="Times New Roman" w:cs="Times New Roman"/>
          <w:sz w:val="24"/>
          <w:szCs w:val="24"/>
          <w:lang w:eastAsia="el-GR"/>
        </w:rPr>
        <w:t>, ενώ μόλις το 6% των επιχειρήσεων προτίθεται να κάνει κάποιου είδους επένδυση</w:t>
      </w:r>
      <w:r w:rsidR="00982B33" w:rsidRPr="00E36734">
        <w:rPr>
          <w:rFonts w:ascii="Times New Roman" w:eastAsia="Times New Roman" w:hAnsi="Times New Roman" w:cs="Times New Roman"/>
          <w:sz w:val="24"/>
          <w:szCs w:val="24"/>
          <w:lang w:eastAsia="el-GR"/>
        </w:rPr>
        <w:t xml:space="preserve"> (Γράφημα 13</w:t>
      </w:r>
      <w:r w:rsidR="000D303E" w:rsidRPr="00E36734">
        <w:rPr>
          <w:rFonts w:ascii="Times New Roman" w:eastAsia="Times New Roman" w:hAnsi="Times New Roman" w:cs="Times New Roman"/>
          <w:sz w:val="24"/>
          <w:szCs w:val="24"/>
          <w:lang w:eastAsia="el-GR"/>
        </w:rPr>
        <w:t>)</w:t>
      </w:r>
      <w:r w:rsidR="00A77A8A" w:rsidRPr="00E36734">
        <w:rPr>
          <w:rFonts w:ascii="Times New Roman" w:eastAsia="Times New Roman" w:hAnsi="Times New Roman" w:cs="Times New Roman"/>
          <w:sz w:val="24"/>
          <w:szCs w:val="24"/>
          <w:lang w:eastAsia="el-GR"/>
        </w:rPr>
        <w:t>. Περισσότερο απαισιόδοξες είναι οι επιχειρήσεις με ετήσιο τζίρο κάτω από 50.000€, οι επιχειρήσεις που έχουν αναστείλει τη λειτουργία τους με κρατική εντολή και οι επιχειρήσεις εστίασης. Για τις προαναφερόμενες επιχειρήσεις τα ποσοστά απαισιοδοξίας κυμαίνονται μεταξύ 60 και 65 ποσοστιαί</w:t>
      </w:r>
      <w:r w:rsidR="000D303E" w:rsidRPr="00E36734">
        <w:rPr>
          <w:rFonts w:ascii="Times New Roman" w:eastAsia="Times New Roman" w:hAnsi="Times New Roman" w:cs="Times New Roman"/>
          <w:sz w:val="24"/>
          <w:szCs w:val="24"/>
          <w:lang w:eastAsia="el-GR"/>
        </w:rPr>
        <w:t>ων</w:t>
      </w:r>
      <w:r w:rsidR="00A77A8A" w:rsidRPr="00E36734">
        <w:rPr>
          <w:rFonts w:ascii="Times New Roman" w:eastAsia="Times New Roman" w:hAnsi="Times New Roman" w:cs="Times New Roman"/>
          <w:sz w:val="24"/>
          <w:szCs w:val="24"/>
          <w:lang w:eastAsia="el-GR"/>
        </w:rPr>
        <w:t xml:space="preserve"> μονάδ</w:t>
      </w:r>
      <w:r w:rsidR="000D303E" w:rsidRPr="00E36734">
        <w:rPr>
          <w:rFonts w:ascii="Times New Roman" w:eastAsia="Times New Roman" w:hAnsi="Times New Roman" w:cs="Times New Roman"/>
          <w:sz w:val="24"/>
          <w:szCs w:val="24"/>
          <w:lang w:eastAsia="el-GR"/>
        </w:rPr>
        <w:t>ων</w:t>
      </w:r>
      <w:r w:rsidR="00A77A8A" w:rsidRPr="00E36734">
        <w:rPr>
          <w:rFonts w:ascii="Times New Roman" w:eastAsia="Times New Roman" w:hAnsi="Times New Roman" w:cs="Times New Roman"/>
          <w:sz w:val="24"/>
          <w:szCs w:val="24"/>
          <w:lang w:eastAsia="el-GR"/>
        </w:rPr>
        <w:t xml:space="preserve"> με τον δείκτη ρευστότητας </w:t>
      </w:r>
      <w:r w:rsidR="00A77A8A" w:rsidRPr="00E36734">
        <w:rPr>
          <w:rFonts w:ascii="Times New Roman" w:eastAsia="Times New Roman" w:hAnsi="Times New Roman" w:cs="Times New Roman"/>
          <w:sz w:val="24"/>
          <w:szCs w:val="24"/>
          <w:lang w:eastAsia="el-GR"/>
        </w:rPr>
        <w:lastRenderedPageBreak/>
        <w:t>να καταγράφει τα υψηλοτέρα</w:t>
      </w:r>
      <w:r w:rsidR="0040254E" w:rsidRPr="00E36734">
        <w:rPr>
          <w:rFonts w:ascii="Times New Roman" w:eastAsia="Times New Roman" w:hAnsi="Times New Roman" w:cs="Times New Roman"/>
          <w:sz w:val="24"/>
          <w:szCs w:val="24"/>
          <w:lang w:eastAsia="el-GR"/>
        </w:rPr>
        <w:t xml:space="preserve"> ποσοστά</w:t>
      </w:r>
      <w:r w:rsidR="00A77A8A" w:rsidRPr="00E36734">
        <w:rPr>
          <w:rFonts w:ascii="Times New Roman" w:eastAsia="Times New Roman" w:hAnsi="Times New Roman" w:cs="Times New Roman"/>
          <w:sz w:val="24"/>
          <w:szCs w:val="24"/>
          <w:lang w:eastAsia="el-GR"/>
        </w:rPr>
        <w:t>. Η απαισιοδ</w:t>
      </w:r>
      <w:r w:rsidR="004A1D99" w:rsidRPr="00E36734">
        <w:rPr>
          <w:rFonts w:ascii="Times New Roman" w:eastAsia="Times New Roman" w:hAnsi="Times New Roman" w:cs="Times New Roman"/>
          <w:sz w:val="24"/>
          <w:szCs w:val="24"/>
          <w:lang w:eastAsia="el-GR"/>
        </w:rPr>
        <w:t xml:space="preserve">οξία μάλιστα που καταγράφεται στις προσδοκίες των μικρών και πολύ μικρών επιχειρήσεων φαίνεται πως δεν περιορίζεται μόνο </w:t>
      </w:r>
      <w:r w:rsidR="000D303E" w:rsidRPr="00E36734">
        <w:rPr>
          <w:rFonts w:ascii="Times New Roman" w:eastAsia="Times New Roman" w:hAnsi="Times New Roman" w:cs="Times New Roman"/>
          <w:sz w:val="24"/>
          <w:szCs w:val="24"/>
          <w:lang w:eastAsia="el-GR"/>
        </w:rPr>
        <w:t xml:space="preserve">στο </w:t>
      </w:r>
      <w:r w:rsidR="004A1D99" w:rsidRPr="00E36734">
        <w:rPr>
          <w:rFonts w:ascii="Times New Roman" w:eastAsia="Times New Roman" w:hAnsi="Times New Roman" w:cs="Times New Roman"/>
          <w:sz w:val="24"/>
          <w:szCs w:val="24"/>
          <w:lang w:eastAsia="el-GR"/>
        </w:rPr>
        <w:t xml:space="preserve">τρέχον εξάμηνο. </w:t>
      </w:r>
      <w:bookmarkStart w:id="19" w:name="_Hlk68246490"/>
      <w:r w:rsidR="004A1D99" w:rsidRPr="00E36734">
        <w:rPr>
          <w:rFonts w:ascii="Times New Roman" w:eastAsia="Times New Roman" w:hAnsi="Times New Roman" w:cs="Times New Roman"/>
          <w:sz w:val="24"/>
          <w:szCs w:val="24"/>
          <w:lang w:eastAsia="el-GR"/>
        </w:rPr>
        <w:t xml:space="preserve">Το 63,1% των επιχειρήσεων θεωρεί πως η οικονομική κρίση που έχει προκαλέσει η πανδημία θα διαρκέσει για τουλάχιστον 2 χρόνια με τους </w:t>
      </w:r>
      <w:r w:rsidR="00436AF7" w:rsidRPr="00E36734">
        <w:rPr>
          <w:rFonts w:ascii="Times New Roman" w:eastAsia="Times New Roman" w:hAnsi="Times New Roman" w:cs="Times New Roman"/>
          <w:sz w:val="24"/>
          <w:szCs w:val="24"/>
          <w:lang w:eastAsia="el-GR"/>
        </w:rPr>
        <w:t>επιχειρηματίες</w:t>
      </w:r>
      <w:r w:rsidR="004A1D99" w:rsidRPr="00E36734">
        <w:rPr>
          <w:rFonts w:ascii="Times New Roman" w:eastAsia="Times New Roman" w:hAnsi="Times New Roman" w:cs="Times New Roman"/>
          <w:sz w:val="24"/>
          <w:szCs w:val="24"/>
          <w:lang w:eastAsia="el-GR"/>
        </w:rPr>
        <w:t xml:space="preserve"> της εστίασης να </w:t>
      </w:r>
      <w:r w:rsidR="00436AF7" w:rsidRPr="00E36734">
        <w:rPr>
          <w:rFonts w:ascii="Times New Roman" w:eastAsia="Times New Roman" w:hAnsi="Times New Roman" w:cs="Times New Roman"/>
          <w:sz w:val="24"/>
          <w:szCs w:val="24"/>
          <w:lang w:eastAsia="el-GR"/>
        </w:rPr>
        <w:t>καταγράφουν το μεγαλύτερο ποσοστό</w:t>
      </w:r>
      <w:r w:rsidR="004A1D99" w:rsidRPr="00E36734">
        <w:rPr>
          <w:rFonts w:ascii="Times New Roman" w:eastAsia="Times New Roman" w:hAnsi="Times New Roman" w:cs="Times New Roman"/>
          <w:sz w:val="24"/>
          <w:szCs w:val="24"/>
          <w:lang w:eastAsia="el-GR"/>
        </w:rPr>
        <w:t xml:space="preserve"> </w:t>
      </w:r>
      <w:bookmarkEnd w:id="19"/>
      <w:r w:rsidR="004A1D99" w:rsidRPr="00E36734">
        <w:rPr>
          <w:rFonts w:ascii="Times New Roman" w:eastAsia="Times New Roman" w:hAnsi="Times New Roman" w:cs="Times New Roman"/>
          <w:sz w:val="24"/>
          <w:szCs w:val="24"/>
          <w:lang w:eastAsia="el-GR"/>
        </w:rPr>
        <w:t xml:space="preserve">(72%). Η απαισιόδοξη αυτή προοπτική που σε σημαντικό βαθμό θα επηρεάσει και τις όποιες επιχειρηματικές αποφάσεις </w:t>
      </w:r>
      <w:r w:rsidR="009916D3" w:rsidRPr="00E36734">
        <w:rPr>
          <w:rFonts w:ascii="Times New Roman" w:eastAsia="Times New Roman" w:hAnsi="Times New Roman" w:cs="Times New Roman"/>
          <w:sz w:val="24"/>
          <w:szCs w:val="24"/>
          <w:lang w:eastAsia="el-GR"/>
        </w:rPr>
        <w:t>πιθανότατα σχετίζεται και με</w:t>
      </w:r>
      <w:r w:rsidR="004A1D99" w:rsidRPr="00E36734">
        <w:rPr>
          <w:rFonts w:ascii="Times New Roman" w:eastAsia="Times New Roman" w:hAnsi="Times New Roman" w:cs="Times New Roman"/>
          <w:sz w:val="24"/>
          <w:szCs w:val="24"/>
          <w:lang w:eastAsia="el-GR"/>
        </w:rPr>
        <w:t xml:space="preserve"> το </w:t>
      </w:r>
      <w:r w:rsidR="000D303E" w:rsidRPr="00E36734">
        <w:rPr>
          <w:rFonts w:ascii="Times New Roman" w:eastAsia="Times New Roman" w:hAnsi="Times New Roman" w:cs="Times New Roman"/>
          <w:sz w:val="24"/>
          <w:szCs w:val="24"/>
          <w:lang w:eastAsia="el-GR"/>
        </w:rPr>
        <w:t xml:space="preserve">αρκετά </w:t>
      </w:r>
      <w:r w:rsidR="004A1D99" w:rsidRPr="00E36734">
        <w:rPr>
          <w:rFonts w:ascii="Times New Roman" w:eastAsia="Times New Roman" w:hAnsi="Times New Roman" w:cs="Times New Roman"/>
          <w:sz w:val="24"/>
          <w:szCs w:val="24"/>
          <w:lang w:eastAsia="el-GR"/>
        </w:rPr>
        <w:t xml:space="preserve">υψηλό ποσοστό των επιχειρηματιών που δηλώνουν διατεθειμένοι να κάνουν το εμβόλιο για τον </w:t>
      </w:r>
      <w:r w:rsidR="004A1D99" w:rsidRPr="00E36734">
        <w:rPr>
          <w:rFonts w:ascii="Times New Roman" w:eastAsia="Times New Roman" w:hAnsi="Times New Roman" w:cs="Times New Roman"/>
          <w:sz w:val="24"/>
          <w:szCs w:val="24"/>
          <w:lang w:val="en-US" w:eastAsia="el-GR"/>
        </w:rPr>
        <w:t>Covid</w:t>
      </w:r>
      <w:r w:rsidR="004A1D99" w:rsidRPr="00E36734">
        <w:rPr>
          <w:rFonts w:ascii="Times New Roman" w:eastAsia="Times New Roman" w:hAnsi="Times New Roman" w:cs="Times New Roman"/>
          <w:sz w:val="24"/>
          <w:szCs w:val="24"/>
          <w:lang w:eastAsia="el-GR"/>
        </w:rPr>
        <w:t xml:space="preserve">-19. </w:t>
      </w:r>
      <w:r w:rsidR="009916D3" w:rsidRPr="00E36734">
        <w:rPr>
          <w:rFonts w:ascii="Times New Roman" w:eastAsia="Times New Roman" w:hAnsi="Times New Roman" w:cs="Times New Roman"/>
          <w:sz w:val="24"/>
          <w:szCs w:val="24"/>
          <w:lang w:eastAsia="el-GR"/>
        </w:rPr>
        <w:t xml:space="preserve">Κάτι που δείχνει πως εκτός από την προστασία της δημόσια υγείας ο μαζικός εμβολιασμός θεωρείται ο πιο αποτελεσματικός τρόπος για την πλήρη επαναλειτουργία των επιχειρήσεων για την ταχύτερη επιστροφή στην «κανονικότητα». </w:t>
      </w:r>
      <w:r w:rsidR="004A1D99" w:rsidRPr="00E36734">
        <w:rPr>
          <w:rFonts w:ascii="Times New Roman" w:eastAsia="Times New Roman" w:hAnsi="Times New Roman" w:cs="Times New Roman"/>
          <w:sz w:val="24"/>
          <w:szCs w:val="24"/>
          <w:lang w:eastAsia="el-GR"/>
        </w:rPr>
        <w:t>Συγκεκριμένα το 53,6% δήλωσε πως σίγουρα θα κάνει το εμβόλιο και το 16,7% ότι μάλλον θα το κάνει</w:t>
      </w:r>
      <w:r w:rsidR="000D303E" w:rsidRPr="00E36734">
        <w:rPr>
          <w:rFonts w:ascii="Times New Roman" w:eastAsia="Times New Roman" w:hAnsi="Times New Roman" w:cs="Times New Roman"/>
          <w:sz w:val="24"/>
          <w:szCs w:val="24"/>
          <w:lang w:eastAsia="el-GR"/>
        </w:rPr>
        <w:t>,</w:t>
      </w:r>
      <w:r w:rsidR="004A1D99" w:rsidRPr="00E36734">
        <w:rPr>
          <w:rFonts w:ascii="Times New Roman" w:eastAsia="Times New Roman" w:hAnsi="Times New Roman" w:cs="Times New Roman"/>
          <w:sz w:val="24"/>
          <w:szCs w:val="24"/>
          <w:lang w:eastAsia="el-GR"/>
        </w:rPr>
        <w:t xml:space="preserve"> έναντι του 8,2% και του 15,9% που δήλωσαν πως μάλλον ή σίγουρα δεν θα εμβολιαστούν αντίστοιχα. </w:t>
      </w:r>
      <w:r w:rsidR="00436AF7" w:rsidRPr="00E36734">
        <w:rPr>
          <w:rFonts w:ascii="Times New Roman" w:eastAsia="Times New Roman" w:hAnsi="Times New Roman" w:cs="Times New Roman"/>
          <w:sz w:val="24"/>
          <w:szCs w:val="24"/>
          <w:lang w:eastAsia="el-GR"/>
        </w:rPr>
        <w:t>Μάλιστα οι επιχειρηματίες της εστίασης καταγράφουν το μεγαλύτερο ποσοστό πρόθεσης εμβολιασμού (75%).</w:t>
      </w:r>
    </w:p>
    <w:p w14:paraId="1987BB94" w14:textId="0733CF7F" w:rsidR="00411D45" w:rsidRPr="00E36734" w:rsidRDefault="00411D45" w:rsidP="00761263">
      <w:pPr>
        <w:spacing w:after="0" w:line="360" w:lineRule="auto"/>
        <w:jc w:val="both"/>
        <w:rPr>
          <w:rFonts w:ascii="Times New Roman" w:eastAsia="Times New Roman" w:hAnsi="Times New Roman" w:cs="Times New Roman"/>
          <w:b/>
          <w:bCs/>
          <w:sz w:val="24"/>
          <w:szCs w:val="24"/>
          <w:lang w:eastAsia="el-GR"/>
        </w:rPr>
      </w:pPr>
    </w:p>
    <w:p w14:paraId="23AEB25D" w14:textId="4025C121" w:rsidR="00411D45" w:rsidRPr="00E36734" w:rsidRDefault="00411D45" w:rsidP="00411D45">
      <w:pPr>
        <w:spacing w:after="0" w:line="360" w:lineRule="auto"/>
        <w:jc w:val="center"/>
        <w:rPr>
          <w:rFonts w:ascii="Times New Roman" w:eastAsia="Times New Roman" w:hAnsi="Times New Roman" w:cs="Times New Roman"/>
          <w:b/>
          <w:bCs/>
          <w:sz w:val="24"/>
          <w:szCs w:val="24"/>
          <w:lang w:eastAsia="el-GR"/>
        </w:rPr>
      </w:pPr>
      <w:r w:rsidRPr="00E36734">
        <w:rPr>
          <w:rFonts w:ascii="Times New Roman" w:eastAsia="Times New Roman" w:hAnsi="Times New Roman" w:cs="Times New Roman"/>
          <w:b/>
          <w:bCs/>
          <w:sz w:val="24"/>
          <w:szCs w:val="24"/>
          <w:lang w:eastAsia="el-GR"/>
        </w:rPr>
        <w:t>Γράφημα 1</w:t>
      </w:r>
      <w:r w:rsidR="00982B33" w:rsidRPr="00E36734">
        <w:rPr>
          <w:rFonts w:ascii="Times New Roman" w:eastAsia="Times New Roman" w:hAnsi="Times New Roman" w:cs="Times New Roman"/>
          <w:b/>
          <w:bCs/>
          <w:sz w:val="24"/>
          <w:szCs w:val="24"/>
          <w:lang w:eastAsia="el-GR"/>
        </w:rPr>
        <w:t>3</w:t>
      </w:r>
    </w:p>
    <w:p w14:paraId="7FFD57BF" w14:textId="37EFBD89" w:rsidR="00411D45" w:rsidRPr="00E36734" w:rsidRDefault="00411D45" w:rsidP="00411D45">
      <w:pPr>
        <w:spacing w:after="0" w:line="360" w:lineRule="auto"/>
        <w:jc w:val="center"/>
        <w:rPr>
          <w:rFonts w:ascii="Times New Roman" w:eastAsia="Times New Roman" w:hAnsi="Times New Roman" w:cs="Times New Roman"/>
          <w:b/>
          <w:bCs/>
          <w:sz w:val="24"/>
          <w:szCs w:val="24"/>
          <w:lang w:eastAsia="el-GR"/>
        </w:rPr>
      </w:pPr>
      <w:r w:rsidRPr="00E36734">
        <w:rPr>
          <w:rFonts w:ascii="Times New Roman" w:eastAsia="Times New Roman" w:hAnsi="Times New Roman" w:cs="Times New Roman"/>
          <w:b/>
          <w:bCs/>
          <w:sz w:val="24"/>
          <w:szCs w:val="24"/>
          <w:lang w:eastAsia="el-GR"/>
        </w:rPr>
        <w:t>Πρόβλεψη επόμενο</w:t>
      </w:r>
      <w:r w:rsidR="000D303E" w:rsidRPr="00E36734">
        <w:rPr>
          <w:rFonts w:ascii="Times New Roman" w:eastAsia="Times New Roman" w:hAnsi="Times New Roman" w:cs="Times New Roman"/>
          <w:b/>
          <w:bCs/>
          <w:sz w:val="24"/>
          <w:szCs w:val="24"/>
          <w:lang w:eastAsia="el-GR"/>
        </w:rPr>
        <w:t>υ</w:t>
      </w:r>
      <w:r w:rsidRPr="00E36734">
        <w:rPr>
          <w:rFonts w:ascii="Times New Roman" w:eastAsia="Times New Roman" w:hAnsi="Times New Roman" w:cs="Times New Roman"/>
          <w:b/>
          <w:bCs/>
          <w:sz w:val="24"/>
          <w:szCs w:val="24"/>
          <w:lang w:eastAsia="el-GR"/>
        </w:rPr>
        <w:t xml:space="preserve"> εξαμήνου</w:t>
      </w:r>
    </w:p>
    <w:p w14:paraId="69ABED7C" w14:textId="351C42E8" w:rsidR="00411D45" w:rsidRPr="00E36734" w:rsidRDefault="00411D45" w:rsidP="00411D45">
      <w:pPr>
        <w:spacing w:after="0" w:line="360" w:lineRule="auto"/>
        <w:jc w:val="center"/>
        <w:rPr>
          <w:rFonts w:ascii="Times New Roman" w:eastAsia="Times New Roman" w:hAnsi="Times New Roman" w:cs="Times New Roman"/>
          <w:b/>
          <w:bCs/>
          <w:sz w:val="24"/>
          <w:szCs w:val="24"/>
          <w:lang w:eastAsia="el-GR"/>
        </w:rPr>
      </w:pPr>
      <w:r w:rsidRPr="00E36734">
        <w:rPr>
          <w:rFonts w:ascii="Times New Roman" w:eastAsia="Times New Roman" w:hAnsi="Times New Roman" w:cs="Times New Roman"/>
          <w:b/>
          <w:bCs/>
          <w:sz w:val="24"/>
          <w:szCs w:val="24"/>
          <w:lang w:eastAsia="el-GR"/>
        </w:rPr>
        <w:t>Συγκεντρωτικό γράφημα</w:t>
      </w:r>
    </w:p>
    <w:p w14:paraId="5EFF9AC8" w14:textId="4F51833A" w:rsidR="00411D45" w:rsidRPr="00E36734" w:rsidRDefault="00411D45" w:rsidP="00761263">
      <w:p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noProof/>
          <w:sz w:val="24"/>
          <w:szCs w:val="24"/>
          <w:lang w:eastAsia="el-GR"/>
        </w:rPr>
        <w:drawing>
          <wp:inline distT="0" distB="0" distL="0" distR="0" wp14:anchorId="05243685" wp14:editId="322D85E6">
            <wp:extent cx="6570980" cy="3194685"/>
            <wp:effectExtent l="0" t="0" r="1270" b="5715"/>
            <wp:docPr id="8" name="Γράφημα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F551E71" w14:textId="0EF0BCB6" w:rsidR="000E5AE6" w:rsidRPr="00E36734" w:rsidRDefault="008F4BD9" w:rsidP="00761263">
      <w:p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Από την άλλη μεριά</w:t>
      </w:r>
      <w:r w:rsidR="000D303E" w:rsidRPr="00E36734">
        <w:rPr>
          <w:rFonts w:ascii="Times New Roman" w:eastAsia="Times New Roman" w:hAnsi="Times New Roman" w:cs="Times New Roman"/>
          <w:sz w:val="24"/>
          <w:szCs w:val="24"/>
          <w:lang w:eastAsia="el-GR"/>
        </w:rPr>
        <w:t>,</w:t>
      </w:r>
      <w:r w:rsidRPr="00E36734">
        <w:rPr>
          <w:rFonts w:ascii="Times New Roman" w:eastAsia="Times New Roman" w:hAnsi="Times New Roman" w:cs="Times New Roman"/>
          <w:sz w:val="24"/>
          <w:szCs w:val="24"/>
          <w:lang w:eastAsia="el-GR"/>
        </w:rPr>
        <w:t xml:space="preserve"> θετικό ισοζύγιο καταγράφεται </w:t>
      </w:r>
      <w:r w:rsidR="009916D3" w:rsidRPr="00E36734">
        <w:rPr>
          <w:rFonts w:ascii="Times New Roman" w:eastAsia="Times New Roman" w:hAnsi="Times New Roman" w:cs="Times New Roman"/>
          <w:sz w:val="24"/>
          <w:szCs w:val="24"/>
          <w:lang w:eastAsia="el-GR"/>
        </w:rPr>
        <w:t>στις προβλέψεις για την</w:t>
      </w:r>
      <w:r w:rsidRPr="00E36734">
        <w:rPr>
          <w:rFonts w:ascii="Times New Roman" w:eastAsia="Times New Roman" w:hAnsi="Times New Roman" w:cs="Times New Roman"/>
          <w:sz w:val="24"/>
          <w:szCs w:val="24"/>
          <w:lang w:eastAsia="el-GR"/>
        </w:rPr>
        <w:t xml:space="preserve"> απασχόληση. Συγκεκριμένα το 7,4% των μικρών και πολύ μικρών επιχειρήσεων εκτιμά πως θα κάνει προσλήψεις το Β εξάμηνο του 2021 έναντι του 3,4% που</w:t>
      </w:r>
      <w:r w:rsidR="000D303E" w:rsidRPr="00E36734">
        <w:rPr>
          <w:rFonts w:ascii="Times New Roman" w:eastAsia="Times New Roman" w:hAnsi="Times New Roman" w:cs="Times New Roman"/>
          <w:sz w:val="24"/>
          <w:szCs w:val="24"/>
          <w:lang w:eastAsia="el-GR"/>
        </w:rPr>
        <w:t xml:space="preserve"> δηλώνει πως</w:t>
      </w:r>
      <w:r w:rsidRPr="00E36734">
        <w:rPr>
          <w:rFonts w:ascii="Times New Roman" w:eastAsia="Times New Roman" w:hAnsi="Times New Roman" w:cs="Times New Roman"/>
          <w:sz w:val="24"/>
          <w:szCs w:val="24"/>
          <w:lang w:eastAsia="el-GR"/>
        </w:rPr>
        <w:t xml:space="preserve"> θα προχωρήσει σε μειώσεις προσωπικού. Οι επιχειρήσεις της μεταποίησης έχουν το υψηλότερο θετικό ισοζύγιο (9,8% θα αυξήσει το προσωπικό έναντι 1% που δήλωσε </w:t>
      </w:r>
      <w:r w:rsidRPr="00E36734">
        <w:rPr>
          <w:rFonts w:ascii="Times New Roman" w:eastAsia="Times New Roman" w:hAnsi="Times New Roman" w:cs="Times New Roman"/>
          <w:sz w:val="24"/>
          <w:szCs w:val="24"/>
          <w:lang w:eastAsia="el-GR"/>
        </w:rPr>
        <w:lastRenderedPageBreak/>
        <w:t>πως θα μειώσει), και ακολουθούν οι υπηρεσίες (7,8% θα αυξήσει, 4,1% θα μειώσει) και το εμπόριο (5,8% θα αυξήσει, 4,4% θα μειώσει).</w:t>
      </w:r>
      <w:r w:rsidR="00DF2253" w:rsidRPr="00E36734">
        <w:rPr>
          <w:rFonts w:ascii="Times New Roman" w:eastAsia="Times New Roman" w:hAnsi="Times New Roman" w:cs="Times New Roman"/>
          <w:sz w:val="24"/>
          <w:szCs w:val="24"/>
          <w:lang w:eastAsia="el-GR"/>
        </w:rPr>
        <w:t xml:space="preserve"> Παρατηρούμε, δηλαδή, πως οι τομείς εκείνοι που προχώρησαν σε μείωση του προσωπικού τους το Β εξάμηνο του 2020 είναι </w:t>
      </w:r>
      <w:r w:rsidR="000D303E" w:rsidRPr="00E36734">
        <w:rPr>
          <w:rFonts w:ascii="Times New Roman" w:eastAsia="Times New Roman" w:hAnsi="Times New Roman" w:cs="Times New Roman"/>
          <w:sz w:val="24"/>
          <w:szCs w:val="24"/>
          <w:lang w:eastAsia="el-GR"/>
        </w:rPr>
        <w:t xml:space="preserve">και εκείνοι </w:t>
      </w:r>
      <w:r w:rsidR="00DF2253" w:rsidRPr="00E36734">
        <w:rPr>
          <w:rFonts w:ascii="Times New Roman" w:eastAsia="Times New Roman" w:hAnsi="Times New Roman" w:cs="Times New Roman"/>
          <w:sz w:val="24"/>
          <w:szCs w:val="24"/>
          <w:lang w:eastAsia="el-GR"/>
        </w:rPr>
        <w:t xml:space="preserve">που θα προχωρήσουν στις περισσότερες προσλήψεις. Προφανώς η θετική αυτή </w:t>
      </w:r>
      <w:r w:rsidR="009916D3" w:rsidRPr="00E36734">
        <w:rPr>
          <w:rFonts w:ascii="Times New Roman" w:eastAsia="Times New Roman" w:hAnsi="Times New Roman" w:cs="Times New Roman"/>
          <w:sz w:val="24"/>
          <w:szCs w:val="24"/>
          <w:lang w:eastAsia="el-GR"/>
        </w:rPr>
        <w:t>εκτίμηση</w:t>
      </w:r>
      <w:r w:rsidR="00DF2253" w:rsidRPr="00E36734">
        <w:rPr>
          <w:rFonts w:ascii="Times New Roman" w:eastAsia="Times New Roman" w:hAnsi="Times New Roman" w:cs="Times New Roman"/>
          <w:sz w:val="24"/>
          <w:szCs w:val="24"/>
          <w:lang w:eastAsia="el-GR"/>
        </w:rPr>
        <w:t xml:space="preserve"> προέρχεται και από την προσδοκία πως το καλοκαίρι</w:t>
      </w:r>
      <w:r w:rsidR="009916D3" w:rsidRPr="00E36734">
        <w:rPr>
          <w:rFonts w:ascii="Times New Roman" w:eastAsia="Times New Roman" w:hAnsi="Times New Roman" w:cs="Times New Roman"/>
          <w:sz w:val="24"/>
          <w:szCs w:val="24"/>
          <w:lang w:eastAsia="el-GR"/>
        </w:rPr>
        <w:t>,</w:t>
      </w:r>
      <w:r w:rsidR="00DF2253" w:rsidRPr="00E36734">
        <w:rPr>
          <w:rFonts w:ascii="Times New Roman" w:eastAsia="Times New Roman" w:hAnsi="Times New Roman" w:cs="Times New Roman"/>
          <w:sz w:val="24"/>
          <w:szCs w:val="24"/>
          <w:lang w:eastAsia="el-GR"/>
        </w:rPr>
        <w:t xml:space="preserve"> </w:t>
      </w:r>
      <w:r w:rsidR="000D303E" w:rsidRPr="00E36734">
        <w:rPr>
          <w:rFonts w:ascii="Times New Roman" w:eastAsia="Times New Roman" w:hAnsi="Times New Roman" w:cs="Times New Roman"/>
          <w:sz w:val="24"/>
          <w:szCs w:val="24"/>
          <w:lang w:eastAsia="el-GR"/>
        </w:rPr>
        <w:t>τόσο</w:t>
      </w:r>
      <w:r w:rsidR="00DF2253" w:rsidRPr="00E36734">
        <w:rPr>
          <w:rFonts w:ascii="Times New Roman" w:eastAsia="Times New Roman" w:hAnsi="Times New Roman" w:cs="Times New Roman"/>
          <w:sz w:val="24"/>
          <w:szCs w:val="24"/>
          <w:lang w:eastAsia="el-GR"/>
        </w:rPr>
        <w:t xml:space="preserve"> λόγω των κλιματολογικών συνθηκών </w:t>
      </w:r>
      <w:r w:rsidR="00B62495" w:rsidRPr="00E36734">
        <w:rPr>
          <w:rFonts w:ascii="Times New Roman" w:eastAsia="Times New Roman" w:hAnsi="Times New Roman" w:cs="Times New Roman"/>
          <w:sz w:val="24"/>
          <w:szCs w:val="24"/>
          <w:lang w:eastAsia="el-GR"/>
        </w:rPr>
        <w:t xml:space="preserve">όσο </w:t>
      </w:r>
      <w:r w:rsidR="00DF2253" w:rsidRPr="00E36734">
        <w:rPr>
          <w:rFonts w:ascii="Times New Roman" w:eastAsia="Times New Roman" w:hAnsi="Times New Roman" w:cs="Times New Roman"/>
          <w:sz w:val="24"/>
          <w:szCs w:val="24"/>
          <w:lang w:eastAsia="el-GR"/>
        </w:rPr>
        <w:t xml:space="preserve">και λόγω της προόδου </w:t>
      </w:r>
      <w:r w:rsidR="00B62495" w:rsidRPr="00E36734">
        <w:rPr>
          <w:rFonts w:ascii="Times New Roman" w:eastAsia="Times New Roman" w:hAnsi="Times New Roman" w:cs="Times New Roman"/>
          <w:sz w:val="24"/>
          <w:szCs w:val="24"/>
          <w:lang w:eastAsia="el-GR"/>
        </w:rPr>
        <w:t xml:space="preserve">που αναμένεται </w:t>
      </w:r>
      <w:r w:rsidR="00DF2253" w:rsidRPr="00E36734">
        <w:rPr>
          <w:rFonts w:ascii="Times New Roman" w:eastAsia="Times New Roman" w:hAnsi="Times New Roman" w:cs="Times New Roman"/>
          <w:sz w:val="24"/>
          <w:szCs w:val="24"/>
          <w:lang w:eastAsia="el-GR"/>
        </w:rPr>
        <w:t>στην εμβολιαστική κάλυψη του πληθυσμού</w:t>
      </w:r>
      <w:r w:rsidR="009916D3" w:rsidRPr="00E36734">
        <w:rPr>
          <w:rFonts w:ascii="Times New Roman" w:eastAsia="Times New Roman" w:hAnsi="Times New Roman" w:cs="Times New Roman"/>
          <w:sz w:val="24"/>
          <w:szCs w:val="24"/>
          <w:lang w:eastAsia="el-GR"/>
        </w:rPr>
        <w:t>,</w:t>
      </w:r>
      <w:r w:rsidR="00DF2253" w:rsidRPr="00E36734">
        <w:rPr>
          <w:rFonts w:ascii="Times New Roman" w:eastAsia="Times New Roman" w:hAnsi="Times New Roman" w:cs="Times New Roman"/>
          <w:sz w:val="24"/>
          <w:szCs w:val="24"/>
          <w:lang w:eastAsia="el-GR"/>
        </w:rPr>
        <w:t xml:space="preserve"> θα μπορέσει να λειτουργήσει η αγορά με καλύτερες προϋποθέσεις. Επιπλέον </w:t>
      </w:r>
      <w:r w:rsidR="00396DF7" w:rsidRPr="00E36734">
        <w:rPr>
          <w:rFonts w:ascii="Times New Roman" w:eastAsia="Times New Roman" w:hAnsi="Times New Roman" w:cs="Times New Roman"/>
          <w:sz w:val="24"/>
          <w:szCs w:val="24"/>
          <w:lang w:eastAsia="el-GR"/>
        </w:rPr>
        <w:t xml:space="preserve">αποτελεί και την περίοδο που καταγράφεται αύξηση της απασχόλησης </w:t>
      </w:r>
      <w:r w:rsidR="000D303E" w:rsidRPr="00E36734">
        <w:rPr>
          <w:rFonts w:ascii="Times New Roman" w:eastAsia="Times New Roman" w:hAnsi="Times New Roman" w:cs="Times New Roman"/>
          <w:sz w:val="24"/>
          <w:szCs w:val="24"/>
          <w:lang w:eastAsia="el-GR"/>
        </w:rPr>
        <w:t>κυρίως λόγω του τουρισμού</w:t>
      </w:r>
      <w:r w:rsidR="00396DF7" w:rsidRPr="00E36734">
        <w:rPr>
          <w:rFonts w:ascii="Times New Roman" w:eastAsia="Times New Roman" w:hAnsi="Times New Roman" w:cs="Times New Roman"/>
          <w:sz w:val="24"/>
          <w:szCs w:val="24"/>
          <w:lang w:eastAsia="el-GR"/>
        </w:rPr>
        <w:t xml:space="preserve">. </w:t>
      </w:r>
    </w:p>
    <w:p w14:paraId="7C4F932A" w14:textId="3469A347" w:rsidR="00396DF7" w:rsidRPr="00E36734" w:rsidRDefault="009916D3" w:rsidP="00761263">
      <w:p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Με άλλα λόγια, η</w:t>
      </w:r>
      <w:r w:rsidR="00396DF7" w:rsidRPr="00E36734">
        <w:rPr>
          <w:rFonts w:ascii="Times New Roman" w:eastAsia="Times New Roman" w:hAnsi="Times New Roman" w:cs="Times New Roman"/>
          <w:sz w:val="24"/>
          <w:szCs w:val="24"/>
          <w:lang w:eastAsia="el-GR"/>
        </w:rPr>
        <w:t xml:space="preserve"> προσδοκία</w:t>
      </w:r>
      <w:r w:rsidRPr="00E36734">
        <w:rPr>
          <w:rFonts w:ascii="Times New Roman" w:eastAsia="Times New Roman" w:hAnsi="Times New Roman" w:cs="Times New Roman"/>
          <w:sz w:val="24"/>
          <w:szCs w:val="24"/>
          <w:lang w:eastAsia="el-GR"/>
        </w:rPr>
        <w:t xml:space="preserve"> </w:t>
      </w:r>
      <w:r w:rsidR="00396DF7" w:rsidRPr="00E36734">
        <w:rPr>
          <w:rFonts w:ascii="Times New Roman" w:eastAsia="Times New Roman" w:hAnsi="Times New Roman" w:cs="Times New Roman"/>
          <w:sz w:val="24"/>
          <w:szCs w:val="24"/>
          <w:lang w:eastAsia="el-GR"/>
        </w:rPr>
        <w:t xml:space="preserve">πως θα καταστεί εφικτό να λειτουργήσει η αγορά υπό σχετικά κανονικές συνθήκες </w:t>
      </w:r>
      <w:r w:rsidR="00B62495" w:rsidRPr="00E36734">
        <w:rPr>
          <w:rFonts w:ascii="Times New Roman" w:eastAsia="Times New Roman" w:hAnsi="Times New Roman" w:cs="Times New Roman"/>
          <w:sz w:val="24"/>
          <w:szCs w:val="24"/>
          <w:lang w:eastAsia="el-GR"/>
        </w:rPr>
        <w:t>τροφοδοτεί και την εκτίμηση πως θα γίνουν οι</w:t>
      </w:r>
      <w:r w:rsidR="00396DF7" w:rsidRPr="00E36734">
        <w:rPr>
          <w:rFonts w:ascii="Times New Roman" w:eastAsia="Times New Roman" w:hAnsi="Times New Roman" w:cs="Times New Roman"/>
          <w:sz w:val="24"/>
          <w:szCs w:val="24"/>
          <w:lang w:eastAsia="el-GR"/>
        </w:rPr>
        <w:t xml:space="preserve"> προσλήψεις που διαχρονικά γίνονται πριν και κατά τη διάρκεια της καλοκαιρινής περιόδου. Αυτό φαίνεται και από τα στοιχεία των επιχειρήσεων που έχουν πληγεί περισσότερο από την υγειονομική κρίση, όπως οι επιχειρήσεις εστίασης όπου το ισοζύγιο προσλήψεων-</w:t>
      </w:r>
      <w:r w:rsidR="00650B17" w:rsidRPr="00E36734">
        <w:rPr>
          <w:rFonts w:ascii="Times New Roman" w:eastAsia="Times New Roman" w:hAnsi="Times New Roman" w:cs="Times New Roman"/>
          <w:sz w:val="24"/>
          <w:szCs w:val="24"/>
          <w:lang w:eastAsia="el-GR"/>
        </w:rPr>
        <w:t>αποχωρήσεων</w:t>
      </w:r>
      <w:r w:rsidR="00396DF7" w:rsidRPr="00E36734">
        <w:rPr>
          <w:rFonts w:ascii="Times New Roman" w:eastAsia="Times New Roman" w:hAnsi="Times New Roman" w:cs="Times New Roman"/>
          <w:sz w:val="24"/>
          <w:szCs w:val="24"/>
          <w:lang w:eastAsia="el-GR"/>
        </w:rPr>
        <w:t xml:space="preserve"> είναι θετικό</w:t>
      </w:r>
      <w:r w:rsidR="00650B17" w:rsidRPr="00E36734">
        <w:rPr>
          <w:rFonts w:ascii="Times New Roman" w:eastAsia="Times New Roman" w:hAnsi="Times New Roman" w:cs="Times New Roman"/>
          <w:sz w:val="24"/>
          <w:szCs w:val="24"/>
          <w:lang w:eastAsia="el-GR"/>
        </w:rPr>
        <w:t xml:space="preserve">. </w:t>
      </w:r>
      <w:r w:rsidR="00CB769F" w:rsidRPr="00E36734">
        <w:rPr>
          <w:rFonts w:ascii="Times New Roman" w:eastAsia="Times New Roman" w:hAnsi="Times New Roman" w:cs="Times New Roman"/>
          <w:sz w:val="24"/>
          <w:szCs w:val="24"/>
          <w:lang w:eastAsia="el-GR"/>
        </w:rPr>
        <w:t>Τονίζεται πως την προηγούμενη χρονιά εκείνο που παρατηρήθηκε στην αγορά εργασίας ήταν το πάγωμα των προσλήψεων, ιδιαίτερα στους κλάδους που συνδέονται με τον τουρισμό</w:t>
      </w:r>
      <w:r w:rsidR="0017211B" w:rsidRPr="00E36734">
        <w:rPr>
          <w:rFonts w:ascii="Times New Roman" w:eastAsia="Times New Roman" w:hAnsi="Times New Roman" w:cs="Times New Roman"/>
          <w:sz w:val="24"/>
          <w:szCs w:val="24"/>
          <w:lang w:eastAsia="el-GR"/>
        </w:rPr>
        <w:t xml:space="preserve"> έγιναν σε γενικές γραμμές οι μισές προσλήψεις σε σχέση με εκείνες που καταγράφονταν τα προηγούμενα χρόνια. </w:t>
      </w:r>
    </w:p>
    <w:p w14:paraId="4807027B" w14:textId="3B264BF9" w:rsidR="008452A1" w:rsidRPr="00E36734" w:rsidRDefault="008452A1" w:rsidP="00761263">
      <w:p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 xml:space="preserve">Θα πρέπει </w:t>
      </w:r>
      <w:r w:rsidR="00B62495" w:rsidRPr="00E36734">
        <w:rPr>
          <w:rFonts w:ascii="Times New Roman" w:eastAsia="Times New Roman" w:hAnsi="Times New Roman" w:cs="Times New Roman"/>
          <w:sz w:val="24"/>
          <w:szCs w:val="24"/>
          <w:lang w:eastAsia="el-GR"/>
        </w:rPr>
        <w:t>επίσης</w:t>
      </w:r>
      <w:r w:rsidRPr="00E36734">
        <w:rPr>
          <w:rFonts w:ascii="Times New Roman" w:eastAsia="Times New Roman" w:hAnsi="Times New Roman" w:cs="Times New Roman"/>
          <w:sz w:val="24"/>
          <w:szCs w:val="24"/>
          <w:lang w:eastAsia="el-GR"/>
        </w:rPr>
        <w:t xml:space="preserve"> να σημειωθεί ότι η απασχόληση θα εξαρτηθεί και από την βιωσιμότητα των επιχειρήσεων. Για παράδειγμα</w:t>
      </w:r>
      <w:r w:rsidR="005C627F" w:rsidRPr="00E36734">
        <w:rPr>
          <w:rFonts w:ascii="Times New Roman" w:eastAsia="Times New Roman" w:hAnsi="Times New Roman" w:cs="Times New Roman"/>
          <w:sz w:val="24"/>
          <w:szCs w:val="24"/>
          <w:lang w:eastAsia="el-GR"/>
        </w:rPr>
        <w:t>,</w:t>
      </w:r>
      <w:r w:rsidRPr="00E36734">
        <w:rPr>
          <w:rFonts w:ascii="Times New Roman" w:eastAsia="Times New Roman" w:hAnsi="Times New Roman" w:cs="Times New Roman"/>
          <w:sz w:val="24"/>
          <w:szCs w:val="24"/>
          <w:lang w:eastAsia="el-GR"/>
        </w:rPr>
        <w:t xml:space="preserve"> υπενθυμίζεται ότι το 77,6% των επιχειρήσεων εστίασης έχουν αναστείλει συμβάσ</w:t>
      </w:r>
      <w:r w:rsidR="00B62495" w:rsidRPr="00E36734">
        <w:rPr>
          <w:rFonts w:ascii="Times New Roman" w:eastAsia="Times New Roman" w:hAnsi="Times New Roman" w:cs="Times New Roman"/>
          <w:sz w:val="24"/>
          <w:szCs w:val="24"/>
          <w:lang w:eastAsia="el-GR"/>
        </w:rPr>
        <w:t>ει</w:t>
      </w:r>
      <w:r w:rsidRPr="00E36734">
        <w:rPr>
          <w:rFonts w:ascii="Times New Roman" w:eastAsia="Times New Roman" w:hAnsi="Times New Roman" w:cs="Times New Roman"/>
          <w:sz w:val="24"/>
          <w:szCs w:val="24"/>
          <w:lang w:eastAsia="el-GR"/>
        </w:rPr>
        <w:t>ς εργασίας. Κατά συνέπεια μια άρση του μέτρου αυτού χωρίς να έχουν διασφαλιστεί οι προϋποθέσεις για την επανεκκίνηση των επιχειρήσεων</w:t>
      </w:r>
      <w:r w:rsidR="00B62495" w:rsidRPr="00E36734">
        <w:rPr>
          <w:rFonts w:ascii="Times New Roman" w:eastAsia="Times New Roman" w:hAnsi="Times New Roman" w:cs="Times New Roman"/>
          <w:sz w:val="24"/>
          <w:szCs w:val="24"/>
          <w:lang w:eastAsia="el-GR"/>
        </w:rPr>
        <w:t>,</w:t>
      </w:r>
      <w:r w:rsidRPr="00E36734">
        <w:rPr>
          <w:rFonts w:ascii="Times New Roman" w:eastAsia="Times New Roman" w:hAnsi="Times New Roman" w:cs="Times New Roman"/>
          <w:sz w:val="24"/>
          <w:szCs w:val="24"/>
          <w:lang w:eastAsia="el-GR"/>
        </w:rPr>
        <w:t xml:space="preserve"> μπορεί να οδηγήσει</w:t>
      </w:r>
      <w:r w:rsidR="005C627F" w:rsidRPr="00E36734">
        <w:rPr>
          <w:rFonts w:ascii="Times New Roman" w:eastAsia="Times New Roman" w:hAnsi="Times New Roman" w:cs="Times New Roman"/>
          <w:sz w:val="24"/>
          <w:szCs w:val="24"/>
          <w:lang w:eastAsia="el-GR"/>
        </w:rPr>
        <w:t xml:space="preserve"> σε μείωση των θέσεων εργασίας ή ακόμα και</w:t>
      </w:r>
      <w:r w:rsidRPr="00E36734">
        <w:rPr>
          <w:rFonts w:ascii="Times New Roman" w:eastAsia="Times New Roman" w:hAnsi="Times New Roman" w:cs="Times New Roman"/>
          <w:sz w:val="24"/>
          <w:szCs w:val="24"/>
          <w:lang w:eastAsia="el-GR"/>
        </w:rPr>
        <w:t xml:space="preserve"> σε κλείσιμο επιχειρήσεων</w:t>
      </w:r>
      <w:r w:rsidR="005C627F" w:rsidRPr="00E36734">
        <w:rPr>
          <w:rFonts w:ascii="Times New Roman" w:eastAsia="Times New Roman" w:hAnsi="Times New Roman" w:cs="Times New Roman"/>
          <w:sz w:val="24"/>
          <w:szCs w:val="24"/>
          <w:lang w:eastAsia="el-GR"/>
        </w:rPr>
        <w:t xml:space="preserve"> που σημαίνει την απώλεια του συνόλου των θέσεων απασχόλησης μιας επιχείρησης</w:t>
      </w:r>
      <w:r w:rsidRPr="00E36734">
        <w:rPr>
          <w:rFonts w:ascii="Times New Roman" w:eastAsia="Times New Roman" w:hAnsi="Times New Roman" w:cs="Times New Roman"/>
          <w:sz w:val="24"/>
          <w:szCs w:val="24"/>
          <w:lang w:eastAsia="el-GR"/>
        </w:rPr>
        <w:t xml:space="preserve">. </w:t>
      </w: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809"/>
        <w:gridCol w:w="2185"/>
        <w:gridCol w:w="2064"/>
        <w:gridCol w:w="2164"/>
        <w:gridCol w:w="2150"/>
      </w:tblGrid>
      <w:tr w:rsidR="000E5AE6" w:rsidRPr="00E36734" w14:paraId="1771ACBC" w14:textId="77777777" w:rsidTr="000E5AE6">
        <w:trPr>
          <w:trHeight w:val="458"/>
        </w:trPr>
        <w:tc>
          <w:tcPr>
            <w:tcW w:w="1809" w:type="dxa"/>
            <w:vMerge w:val="restart"/>
            <w:shd w:val="clear" w:color="auto" w:fill="FDEADA"/>
            <w:tcMar>
              <w:top w:w="12" w:type="dxa"/>
              <w:left w:w="12" w:type="dxa"/>
              <w:bottom w:w="0" w:type="dxa"/>
              <w:right w:w="12" w:type="dxa"/>
            </w:tcMar>
            <w:vAlign w:val="bottom"/>
            <w:hideMark/>
          </w:tcPr>
          <w:p w14:paraId="5EC3239C" w14:textId="77777777" w:rsidR="00B62495" w:rsidRPr="00E36734" w:rsidRDefault="00B62495" w:rsidP="000E5AE6">
            <w:pPr>
              <w:spacing w:line="240" w:lineRule="auto"/>
              <w:jc w:val="center"/>
              <w:rPr>
                <w:rFonts w:eastAsia="Times New Roman" w:cstheme="minorHAnsi"/>
                <w:b/>
                <w:bCs/>
                <w:sz w:val="20"/>
                <w:szCs w:val="20"/>
              </w:rPr>
            </w:pPr>
            <w:r w:rsidRPr="00E36734">
              <w:rPr>
                <w:rFonts w:eastAsia="Times New Roman" w:cstheme="minorHAnsi"/>
                <w:b/>
                <w:bCs/>
                <w:sz w:val="20"/>
                <w:szCs w:val="20"/>
              </w:rPr>
              <w:t>Πίνακας 6</w:t>
            </w:r>
          </w:p>
          <w:p w14:paraId="75689CA8" w14:textId="10F6BC7C" w:rsidR="000E5AE6" w:rsidRPr="00E36734" w:rsidRDefault="000E5AE6" w:rsidP="000E5AE6">
            <w:pPr>
              <w:spacing w:line="240" w:lineRule="auto"/>
              <w:jc w:val="center"/>
              <w:rPr>
                <w:rFonts w:eastAsia="Times New Roman" w:cstheme="minorHAnsi"/>
                <w:sz w:val="18"/>
                <w:szCs w:val="18"/>
              </w:rPr>
            </w:pPr>
            <w:r w:rsidRPr="00E36734">
              <w:rPr>
                <w:rFonts w:eastAsia="Times New Roman" w:cstheme="minorHAnsi"/>
                <w:sz w:val="18"/>
                <w:szCs w:val="18"/>
              </w:rPr>
              <w:t>Τους επόμενους 6 μήνες θεωρείτε πιο πιθανό το προσωπικό της επιχε</w:t>
            </w:r>
            <w:r w:rsidR="00F9223A" w:rsidRPr="00E36734">
              <w:rPr>
                <w:rFonts w:eastAsia="Times New Roman" w:cstheme="minorHAnsi"/>
                <w:sz w:val="18"/>
                <w:szCs w:val="18"/>
              </w:rPr>
              <w:t>ί</w:t>
            </w:r>
            <w:r w:rsidRPr="00E36734">
              <w:rPr>
                <w:rFonts w:eastAsia="Times New Roman" w:cstheme="minorHAnsi"/>
                <w:sz w:val="18"/>
                <w:szCs w:val="18"/>
              </w:rPr>
              <w:t>ρ</w:t>
            </w:r>
            <w:r w:rsidR="00F9223A" w:rsidRPr="00E36734">
              <w:rPr>
                <w:rFonts w:eastAsia="Times New Roman" w:cstheme="minorHAnsi"/>
                <w:sz w:val="18"/>
                <w:szCs w:val="18"/>
              </w:rPr>
              <w:t>η</w:t>
            </w:r>
            <w:r w:rsidRPr="00E36734">
              <w:rPr>
                <w:rFonts w:eastAsia="Times New Roman" w:cstheme="minorHAnsi"/>
                <w:sz w:val="18"/>
                <w:szCs w:val="18"/>
              </w:rPr>
              <w:t>σής σας:</w:t>
            </w:r>
          </w:p>
        </w:tc>
        <w:tc>
          <w:tcPr>
            <w:tcW w:w="6413" w:type="dxa"/>
            <w:gridSpan w:val="3"/>
            <w:shd w:val="clear" w:color="auto" w:fill="FDEADA"/>
            <w:tcMar>
              <w:top w:w="12" w:type="dxa"/>
              <w:left w:w="12" w:type="dxa"/>
              <w:bottom w:w="0" w:type="dxa"/>
              <w:right w:w="12" w:type="dxa"/>
            </w:tcMar>
            <w:vAlign w:val="center"/>
            <w:hideMark/>
          </w:tcPr>
          <w:p w14:paraId="494ED5B6" w14:textId="77777777" w:rsidR="000E5AE6" w:rsidRPr="00E36734" w:rsidRDefault="000E5AE6" w:rsidP="000E5AE6">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Επιχειρήσεις που το τελευταίο εξάμηνο...</w:t>
            </w:r>
          </w:p>
        </w:tc>
        <w:tc>
          <w:tcPr>
            <w:tcW w:w="2150" w:type="dxa"/>
            <w:vMerge w:val="restart"/>
            <w:shd w:val="clear" w:color="auto" w:fill="FDEADA"/>
          </w:tcPr>
          <w:p w14:paraId="70698A8B" w14:textId="77777777" w:rsidR="000E5AE6" w:rsidRPr="00E36734" w:rsidRDefault="000E5AE6" w:rsidP="000E5AE6">
            <w:pPr>
              <w:spacing w:after="0" w:line="240" w:lineRule="auto"/>
              <w:jc w:val="center"/>
              <w:textAlignment w:val="center"/>
              <w:rPr>
                <w:rFonts w:eastAsia="Microsoft JhengHei UI" w:cstheme="minorHAnsi"/>
                <w:color w:val="000000"/>
                <w:kern w:val="24"/>
                <w:sz w:val="18"/>
                <w:szCs w:val="18"/>
              </w:rPr>
            </w:pPr>
          </w:p>
          <w:p w14:paraId="1BF4F820" w14:textId="77777777" w:rsidR="000E5AE6" w:rsidRPr="00E36734" w:rsidRDefault="000E5AE6" w:rsidP="000E5AE6">
            <w:pPr>
              <w:spacing w:after="0" w:line="240" w:lineRule="auto"/>
              <w:jc w:val="center"/>
              <w:textAlignment w:val="center"/>
              <w:rPr>
                <w:rFonts w:eastAsia="Microsoft JhengHei UI" w:cstheme="minorHAnsi"/>
                <w:color w:val="000000"/>
                <w:kern w:val="24"/>
                <w:sz w:val="18"/>
                <w:szCs w:val="18"/>
              </w:rPr>
            </w:pPr>
          </w:p>
          <w:p w14:paraId="1FDFA065" w14:textId="77777777" w:rsidR="000E5AE6" w:rsidRPr="00E36734" w:rsidRDefault="000E5AE6" w:rsidP="000E5AE6">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Επιχειρήσεις</w:t>
            </w:r>
          </w:p>
          <w:p w14:paraId="61190214" w14:textId="77777777" w:rsidR="000E5AE6" w:rsidRPr="00E36734" w:rsidRDefault="000E5AE6" w:rsidP="000E5AE6">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 εστίασης</w:t>
            </w:r>
          </w:p>
        </w:tc>
      </w:tr>
      <w:tr w:rsidR="000E5AE6" w:rsidRPr="00E36734" w14:paraId="1F821AA7" w14:textId="77777777" w:rsidTr="000E5AE6">
        <w:trPr>
          <w:trHeight w:val="872"/>
        </w:trPr>
        <w:tc>
          <w:tcPr>
            <w:tcW w:w="1809" w:type="dxa"/>
            <w:vMerge/>
            <w:shd w:val="clear" w:color="auto" w:fill="FDEADA"/>
            <w:tcMar>
              <w:top w:w="12" w:type="dxa"/>
              <w:left w:w="12" w:type="dxa"/>
              <w:bottom w:w="0" w:type="dxa"/>
              <w:right w:w="12" w:type="dxa"/>
            </w:tcMar>
            <w:vAlign w:val="bottom"/>
            <w:hideMark/>
          </w:tcPr>
          <w:p w14:paraId="7EFC583F" w14:textId="77777777" w:rsidR="000E5AE6" w:rsidRPr="00E36734" w:rsidRDefault="000E5AE6" w:rsidP="000E5AE6">
            <w:pPr>
              <w:spacing w:after="0" w:line="240" w:lineRule="auto"/>
              <w:jc w:val="center"/>
              <w:rPr>
                <w:rFonts w:eastAsia="Times New Roman" w:cstheme="minorHAnsi"/>
                <w:sz w:val="18"/>
                <w:szCs w:val="18"/>
              </w:rPr>
            </w:pPr>
          </w:p>
        </w:tc>
        <w:tc>
          <w:tcPr>
            <w:tcW w:w="2185" w:type="dxa"/>
            <w:shd w:val="clear" w:color="auto" w:fill="FDEADA"/>
            <w:tcMar>
              <w:top w:w="12" w:type="dxa"/>
              <w:left w:w="12" w:type="dxa"/>
              <w:bottom w:w="0" w:type="dxa"/>
              <w:right w:w="12" w:type="dxa"/>
            </w:tcMar>
            <w:vAlign w:val="center"/>
            <w:hideMark/>
          </w:tcPr>
          <w:p w14:paraId="31D272AE" w14:textId="77777777" w:rsidR="000E5AE6" w:rsidRPr="00E36734" w:rsidRDefault="000E5AE6" w:rsidP="000E5AE6">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ανέστειλαν την δραστηριότητα τους με κρατική εντολή</w:t>
            </w:r>
          </w:p>
        </w:tc>
        <w:tc>
          <w:tcPr>
            <w:tcW w:w="2064" w:type="dxa"/>
            <w:shd w:val="clear" w:color="auto" w:fill="FDEADA"/>
            <w:tcMar>
              <w:top w:w="12" w:type="dxa"/>
              <w:left w:w="12" w:type="dxa"/>
              <w:bottom w:w="0" w:type="dxa"/>
              <w:right w:w="12" w:type="dxa"/>
            </w:tcMar>
            <w:vAlign w:val="center"/>
            <w:hideMark/>
          </w:tcPr>
          <w:p w14:paraId="7186588C" w14:textId="77777777" w:rsidR="000E5AE6" w:rsidRPr="00E36734" w:rsidRDefault="000E5AE6" w:rsidP="000E5AE6">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ανήκαν στις πληττόμενες βάσει ΚΑΔ επιχειρήσεις</w:t>
            </w:r>
          </w:p>
        </w:tc>
        <w:tc>
          <w:tcPr>
            <w:tcW w:w="2164" w:type="dxa"/>
            <w:shd w:val="clear" w:color="auto" w:fill="FDEADA"/>
            <w:tcMar>
              <w:top w:w="12" w:type="dxa"/>
              <w:left w:w="12" w:type="dxa"/>
              <w:bottom w:w="0" w:type="dxa"/>
              <w:right w:w="12" w:type="dxa"/>
            </w:tcMar>
            <w:vAlign w:val="center"/>
            <w:hideMark/>
          </w:tcPr>
          <w:p w14:paraId="49FFDCCF" w14:textId="77777777" w:rsidR="000E5AE6" w:rsidRPr="00E36734" w:rsidRDefault="000E5AE6" w:rsidP="000E5AE6">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Δεν ανήκαν σε καμία από τις παρακείμενες κατηγορίες</w:t>
            </w:r>
          </w:p>
        </w:tc>
        <w:tc>
          <w:tcPr>
            <w:tcW w:w="2150" w:type="dxa"/>
            <w:vMerge/>
            <w:shd w:val="clear" w:color="auto" w:fill="FDEADA"/>
          </w:tcPr>
          <w:p w14:paraId="77C6C50A" w14:textId="77777777" w:rsidR="000E5AE6" w:rsidRPr="00E36734" w:rsidRDefault="000E5AE6" w:rsidP="000E5AE6">
            <w:pPr>
              <w:spacing w:after="0" w:line="240" w:lineRule="auto"/>
              <w:jc w:val="center"/>
              <w:textAlignment w:val="center"/>
              <w:rPr>
                <w:rFonts w:eastAsia="Microsoft JhengHei UI" w:cstheme="minorHAnsi"/>
                <w:color w:val="000000"/>
                <w:kern w:val="24"/>
                <w:sz w:val="18"/>
                <w:szCs w:val="18"/>
              </w:rPr>
            </w:pPr>
          </w:p>
        </w:tc>
      </w:tr>
      <w:tr w:rsidR="00DF2253" w:rsidRPr="00E36734" w14:paraId="40CD6731" w14:textId="77777777" w:rsidTr="0035471D">
        <w:trPr>
          <w:trHeight w:val="458"/>
        </w:trPr>
        <w:tc>
          <w:tcPr>
            <w:tcW w:w="1809" w:type="dxa"/>
            <w:shd w:val="clear" w:color="auto" w:fill="auto"/>
            <w:tcMar>
              <w:top w:w="12" w:type="dxa"/>
              <w:left w:w="12" w:type="dxa"/>
              <w:bottom w:w="0" w:type="dxa"/>
              <w:right w:w="12" w:type="dxa"/>
            </w:tcMar>
            <w:vAlign w:val="center"/>
            <w:hideMark/>
          </w:tcPr>
          <w:p w14:paraId="5D45429F" w14:textId="1CB97C0B" w:rsidR="00DF2253" w:rsidRPr="00E36734" w:rsidRDefault="00DF2253" w:rsidP="00DF2253">
            <w:pPr>
              <w:spacing w:before="240" w:after="0" w:line="240" w:lineRule="auto"/>
              <w:jc w:val="center"/>
              <w:textAlignment w:val="bottom"/>
              <w:rPr>
                <w:rFonts w:eastAsia="Times New Roman" w:cstheme="minorHAnsi"/>
                <w:sz w:val="18"/>
                <w:szCs w:val="18"/>
              </w:rPr>
            </w:pPr>
            <w:r w:rsidRPr="00E36734">
              <w:rPr>
                <w:rFonts w:eastAsia="Times New Roman" w:cstheme="minorHAnsi"/>
                <w:sz w:val="18"/>
                <w:szCs w:val="18"/>
              </w:rPr>
              <w:t>να αυξηθεί</w:t>
            </w:r>
          </w:p>
        </w:tc>
        <w:tc>
          <w:tcPr>
            <w:tcW w:w="2185" w:type="dxa"/>
            <w:shd w:val="clear" w:color="auto" w:fill="auto"/>
            <w:tcMar>
              <w:top w:w="12" w:type="dxa"/>
              <w:left w:w="12" w:type="dxa"/>
              <w:bottom w:w="0" w:type="dxa"/>
              <w:right w:w="12" w:type="dxa"/>
            </w:tcMar>
            <w:hideMark/>
          </w:tcPr>
          <w:p w14:paraId="4519B251" w14:textId="7DCC0F2A" w:rsidR="00DF2253" w:rsidRPr="00E36734" w:rsidRDefault="00DF2253" w:rsidP="00DF2253">
            <w:pPr>
              <w:spacing w:before="240" w:after="0" w:line="240" w:lineRule="auto"/>
              <w:jc w:val="center"/>
              <w:textAlignment w:val="center"/>
              <w:rPr>
                <w:rFonts w:eastAsia="Times New Roman" w:cstheme="minorHAnsi"/>
                <w:sz w:val="18"/>
                <w:szCs w:val="18"/>
                <w:lang w:val="en-US"/>
              </w:rPr>
            </w:pPr>
            <w:r w:rsidRPr="00E36734">
              <w:t>6,8</w:t>
            </w:r>
          </w:p>
        </w:tc>
        <w:tc>
          <w:tcPr>
            <w:tcW w:w="2064" w:type="dxa"/>
            <w:shd w:val="clear" w:color="auto" w:fill="auto"/>
            <w:tcMar>
              <w:top w:w="12" w:type="dxa"/>
              <w:left w:w="12" w:type="dxa"/>
              <w:bottom w:w="0" w:type="dxa"/>
              <w:right w:w="12" w:type="dxa"/>
            </w:tcMar>
            <w:hideMark/>
          </w:tcPr>
          <w:p w14:paraId="05DA9E21" w14:textId="68742A4E" w:rsidR="00DF2253" w:rsidRPr="00E36734" w:rsidRDefault="00DF2253" w:rsidP="00DF2253">
            <w:pPr>
              <w:spacing w:before="240" w:after="0" w:line="240" w:lineRule="auto"/>
              <w:jc w:val="center"/>
              <w:textAlignment w:val="center"/>
              <w:rPr>
                <w:rFonts w:eastAsia="Times New Roman" w:cstheme="minorHAnsi"/>
                <w:sz w:val="18"/>
                <w:szCs w:val="18"/>
                <w:lang w:val="en-US"/>
              </w:rPr>
            </w:pPr>
            <w:r w:rsidRPr="00E36734">
              <w:t>6,6</w:t>
            </w:r>
          </w:p>
        </w:tc>
        <w:tc>
          <w:tcPr>
            <w:tcW w:w="2164" w:type="dxa"/>
            <w:shd w:val="clear" w:color="auto" w:fill="auto"/>
            <w:tcMar>
              <w:top w:w="12" w:type="dxa"/>
              <w:left w:w="12" w:type="dxa"/>
              <w:bottom w:w="0" w:type="dxa"/>
              <w:right w:w="12" w:type="dxa"/>
            </w:tcMar>
            <w:hideMark/>
          </w:tcPr>
          <w:p w14:paraId="2EF0FD27" w14:textId="386515D5" w:rsidR="00DF2253" w:rsidRPr="00E36734" w:rsidRDefault="00DF2253" w:rsidP="00DF2253">
            <w:pPr>
              <w:spacing w:before="240" w:after="0" w:line="240" w:lineRule="auto"/>
              <w:jc w:val="center"/>
              <w:textAlignment w:val="center"/>
              <w:rPr>
                <w:rFonts w:eastAsia="Times New Roman" w:cstheme="minorHAnsi"/>
                <w:sz w:val="18"/>
                <w:szCs w:val="18"/>
                <w:lang w:val="en-US"/>
              </w:rPr>
            </w:pPr>
            <w:r w:rsidRPr="00E36734">
              <w:t>10,4</w:t>
            </w:r>
          </w:p>
        </w:tc>
        <w:tc>
          <w:tcPr>
            <w:tcW w:w="2150" w:type="dxa"/>
            <w:shd w:val="clear" w:color="auto" w:fill="auto"/>
          </w:tcPr>
          <w:p w14:paraId="6E2C9E9A" w14:textId="3255A570" w:rsidR="00DF2253" w:rsidRPr="00E36734" w:rsidRDefault="00DF2253" w:rsidP="00DF2253">
            <w:pPr>
              <w:spacing w:before="240" w:after="0" w:line="240" w:lineRule="auto"/>
              <w:jc w:val="center"/>
              <w:textAlignment w:val="center"/>
              <w:rPr>
                <w:rFonts w:eastAsia="Microsoft JhengHei UI" w:cstheme="minorHAnsi"/>
                <w:color w:val="000000"/>
                <w:kern w:val="24"/>
                <w:sz w:val="18"/>
                <w:szCs w:val="18"/>
              </w:rPr>
            </w:pPr>
            <w:r w:rsidRPr="00E36734">
              <w:t>10,3</w:t>
            </w:r>
          </w:p>
        </w:tc>
      </w:tr>
      <w:tr w:rsidR="00DF2253" w:rsidRPr="00E36734" w14:paraId="1E2B74B2" w14:textId="77777777" w:rsidTr="0035471D">
        <w:trPr>
          <w:trHeight w:val="458"/>
        </w:trPr>
        <w:tc>
          <w:tcPr>
            <w:tcW w:w="1809" w:type="dxa"/>
            <w:shd w:val="clear" w:color="auto" w:fill="auto"/>
            <w:tcMar>
              <w:top w:w="12" w:type="dxa"/>
              <w:left w:w="12" w:type="dxa"/>
              <w:bottom w:w="0" w:type="dxa"/>
              <w:right w:w="12" w:type="dxa"/>
            </w:tcMar>
            <w:vAlign w:val="center"/>
            <w:hideMark/>
          </w:tcPr>
          <w:p w14:paraId="22FC9659" w14:textId="16A7B75E" w:rsidR="00DF2253" w:rsidRPr="00E36734" w:rsidRDefault="00DF2253" w:rsidP="00DF2253">
            <w:pPr>
              <w:spacing w:before="240" w:after="0" w:line="240" w:lineRule="auto"/>
              <w:jc w:val="center"/>
              <w:textAlignment w:val="bottom"/>
              <w:rPr>
                <w:rFonts w:eastAsia="Times New Roman" w:cstheme="minorHAnsi"/>
                <w:sz w:val="18"/>
                <w:szCs w:val="18"/>
                <w:lang w:val="en-US"/>
              </w:rPr>
            </w:pPr>
            <w:r w:rsidRPr="00E36734">
              <w:rPr>
                <w:rFonts w:eastAsia="Microsoft JhengHei UI" w:cstheme="minorHAnsi"/>
                <w:color w:val="000000"/>
                <w:kern w:val="24"/>
                <w:sz w:val="18"/>
                <w:szCs w:val="18"/>
              </w:rPr>
              <w:t>να μειωθεί</w:t>
            </w:r>
          </w:p>
        </w:tc>
        <w:tc>
          <w:tcPr>
            <w:tcW w:w="2185" w:type="dxa"/>
            <w:shd w:val="clear" w:color="auto" w:fill="auto"/>
            <w:tcMar>
              <w:top w:w="12" w:type="dxa"/>
              <w:left w:w="12" w:type="dxa"/>
              <w:bottom w:w="0" w:type="dxa"/>
              <w:right w:w="12" w:type="dxa"/>
            </w:tcMar>
            <w:hideMark/>
          </w:tcPr>
          <w:p w14:paraId="4F209C1D" w14:textId="36FA8877" w:rsidR="00DF2253" w:rsidRPr="00E36734" w:rsidRDefault="00DF2253" w:rsidP="00DF2253">
            <w:pPr>
              <w:spacing w:before="240" w:after="0" w:line="240" w:lineRule="auto"/>
              <w:jc w:val="center"/>
              <w:textAlignment w:val="center"/>
              <w:rPr>
                <w:rFonts w:eastAsia="Times New Roman" w:cstheme="minorHAnsi"/>
                <w:sz w:val="18"/>
                <w:szCs w:val="18"/>
                <w:lang w:val="en-US"/>
              </w:rPr>
            </w:pPr>
            <w:r w:rsidRPr="00E36734">
              <w:t>3,1</w:t>
            </w:r>
          </w:p>
        </w:tc>
        <w:tc>
          <w:tcPr>
            <w:tcW w:w="2064" w:type="dxa"/>
            <w:shd w:val="clear" w:color="auto" w:fill="auto"/>
            <w:tcMar>
              <w:top w:w="12" w:type="dxa"/>
              <w:left w:w="12" w:type="dxa"/>
              <w:bottom w:w="0" w:type="dxa"/>
              <w:right w:w="12" w:type="dxa"/>
            </w:tcMar>
            <w:hideMark/>
          </w:tcPr>
          <w:p w14:paraId="3111DED3" w14:textId="1A3DD6E1" w:rsidR="00DF2253" w:rsidRPr="00E36734" w:rsidRDefault="00DF2253" w:rsidP="00DF2253">
            <w:pPr>
              <w:spacing w:before="240" w:after="0" w:line="240" w:lineRule="auto"/>
              <w:jc w:val="center"/>
              <w:textAlignment w:val="center"/>
              <w:rPr>
                <w:rFonts w:eastAsia="Times New Roman" w:cstheme="minorHAnsi"/>
                <w:sz w:val="18"/>
                <w:szCs w:val="18"/>
                <w:lang w:val="en-US"/>
              </w:rPr>
            </w:pPr>
            <w:r w:rsidRPr="00E36734">
              <w:t>3,3</w:t>
            </w:r>
          </w:p>
        </w:tc>
        <w:tc>
          <w:tcPr>
            <w:tcW w:w="2164" w:type="dxa"/>
            <w:shd w:val="clear" w:color="auto" w:fill="auto"/>
            <w:tcMar>
              <w:top w:w="12" w:type="dxa"/>
              <w:left w:w="12" w:type="dxa"/>
              <w:bottom w:w="0" w:type="dxa"/>
              <w:right w:w="12" w:type="dxa"/>
            </w:tcMar>
            <w:hideMark/>
          </w:tcPr>
          <w:p w14:paraId="159E19C6" w14:textId="4E1669D8" w:rsidR="00DF2253" w:rsidRPr="00E36734" w:rsidRDefault="00DF2253" w:rsidP="00DF2253">
            <w:pPr>
              <w:spacing w:before="240" w:after="0" w:line="240" w:lineRule="auto"/>
              <w:jc w:val="center"/>
              <w:textAlignment w:val="center"/>
              <w:rPr>
                <w:rFonts w:eastAsia="Times New Roman" w:cstheme="minorHAnsi"/>
                <w:sz w:val="18"/>
                <w:szCs w:val="18"/>
                <w:lang w:val="en-US"/>
              </w:rPr>
            </w:pPr>
            <w:r w:rsidRPr="00E36734">
              <w:t>4,4</w:t>
            </w:r>
          </w:p>
        </w:tc>
        <w:tc>
          <w:tcPr>
            <w:tcW w:w="2150" w:type="dxa"/>
            <w:shd w:val="clear" w:color="auto" w:fill="auto"/>
          </w:tcPr>
          <w:p w14:paraId="6D4F8197" w14:textId="656EB4CA" w:rsidR="00DF2253" w:rsidRPr="00E36734" w:rsidRDefault="00DF2253" w:rsidP="00DF2253">
            <w:pPr>
              <w:spacing w:before="240" w:after="0" w:line="240" w:lineRule="auto"/>
              <w:jc w:val="center"/>
              <w:textAlignment w:val="center"/>
              <w:rPr>
                <w:rFonts w:eastAsia="Microsoft JhengHei UI" w:cstheme="minorHAnsi"/>
                <w:color w:val="000000"/>
                <w:kern w:val="24"/>
                <w:sz w:val="18"/>
                <w:szCs w:val="18"/>
              </w:rPr>
            </w:pPr>
            <w:r w:rsidRPr="00E36734">
              <w:t>5,9</w:t>
            </w:r>
          </w:p>
        </w:tc>
      </w:tr>
      <w:tr w:rsidR="00DF2253" w:rsidRPr="00E36734" w14:paraId="5DF43A37" w14:textId="77777777" w:rsidTr="0035471D">
        <w:trPr>
          <w:trHeight w:val="458"/>
        </w:trPr>
        <w:tc>
          <w:tcPr>
            <w:tcW w:w="1809" w:type="dxa"/>
            <w:shd w:val="clear" w:color="auto" w:fill="auto"/>
            <w:tcMar>
              <w:top w:w="12" w:type="dxa"/>
              <w:left w:w="12" w:type="dxa"/>
              <w:bottom w:w="0" w:type="dxa"/>
              <w:right w:w="12" w:type="dxa"/>
            </w:tcMar>
            <w:vAlign w:val="center"/>
            <w:hideMark/>
          </w:tcPr>
          <w:p w14:paraId="04288771" w14:textId="14BE65EF" w:rsidR="00DF2253" w:rsidRPr="00E36734" w:rsidRDefault="00DF2253" w:rsidP="00DF2253">
            <w:pPr>
              <w:spacing w:before="240" w:after="0" w:line="240" w:lineRule="auto"/>
              <w:jc w:val="center"/>
              <w:textAlignment w:val="bottom"/>
              <w:rPr>
                <w:rFonts w:eastAsia="Microsoft JhengHei UI" w:cstheme="minorHAnsi"/>
                <w:color w:val="000000"/>
                <w:kern w:val="24"/>
                <w:sz w:val="18"/>
                <w:szCs w:val="18"/>
              </w:rPr>
            </w:pPr>
            <w:r w:rsidRPr="00E36734">
              <w:rPr>
                <w:rFonts w:eastAsia="Microsoft JhengHei UI" w:cstheme="minorHAnsi"/>
                <w:color w:val="000000"/>
                <w:kern w:val="24"/>
                <w:sz w:val="18"/>
                <w:szCs w:val="18"/>
              </w:rPr>
              <w:t>να παραμείνει σταθερό</w:t>
            </w:r>
          </w:p>
        </w:tc>
        <w:tc>
          <w:tcPr>
            <w:tcW w:w="2185" w:type="dxa"/>
            <w:shd w:val="clear" w:color="auto" w:fill="auto"/>
            <w:tcMar>
              <w:top w:w="12" w:type="dxa"/>
              <w:left w:w="12" w:type="dxa"/>
              <w:bottom w:w="0" w:type="dxa"/>
              <w:right w:w="12" w:type="dxa"/>
            </w:tcMar>
            <w:hideMark/>
          </w:tcPr>
          <w:p w14:paraId="21E0A510" w14:textId="0C9602F5" w:rsidR="00DF2253" w:rsidRPr="00E36734" w:rsidRDefault="00DF2253" w:rsidP="00DF2253">
            <w:pPr>
              <w:spacing w:before="240" w:after="0" w:line="240" w:lineRule="auto"/>
              <w:jc w:val="center"/>
              <w:textAlignment w:val="center"/>
              <w:rPr>
                <w:rFonts w:eastAsia="Times New Roman" w:cstheme="minorHAnsi"/>
                <w:sz w:val="18"/>
                <w:szCs w:val="18"/>
                <w:lang w:val="en-US"/>
              </w:rPr>
            </w:pPr>
            <w:r w:rsidRPr="00E36734">
              <w:t>88,5</w:t>
            </w:r>
          </w:p>
        </w:tc>
        <w:tc>
          <w:tcPr>
            <w:tcW w:w="2064" w:type="dxa"/>
            <w:shd w:val="clear" w:color="auto" w:fill="auto"/>
            <w:tcMar>
              <w:top w:w="12" w:type="dxa"/>
              <w:left w:w="12" w:type="dxa"/>
              <w:bottom w:w="0" w:type="dxa"/>
              <w:right w:w="12" w:type="dxa"/>
            </w:tcMar>
            <w:hideMark/>
          </w:tcPr>
          <w:p w14:paraId="42291454" w14:textId="730D1D76" w:rsidR="00DF2253" w:rsidRPr="00E36734" w:rsidRDefault="00DF2253" w:rsidP="00DF2253">
            <w:pPr>
              <w:spacing w:before="240" w:after="0" w:line="240" w:lineRule="auto"/>
              <w:jc w:val="center"/>
              <w:textAlignment w:val="center"/>
              <w:rPr>
                <w:rFonts w:eastAsia="Times New Roman" w:cstheme="minorHAnsi"/>
                <w:sz w:val="18"/>
                <w:szCs w:val="18"/>
                <w:lang w:val="en-US"/>
              </w:rPr>
            </w:pPr>
            <w:r w:rsidRPr="00E36734">
              <w:t>86,5</w:t>
            </w:r>
          </w:p>
        </w:tc>
        <w:tc>
          <w:tcPr>
            <w:tcW w:w="2164" w:type="dxa"/>
            <w:shd w:val="clear" w:color="auto" w:fill="auto"/>
            <w:tcMar>
              <w:top w:w="12" w:type="dxa"/>
              <w:left w:w="12" w:type="dxa"/>
              <w:bottom w:w="0" w:type="dxa"/>
              <w:right w:w="12" w:type="dxa"/>
            </w:tcMar>
            <w:hideMark/>
          </w:tcPr>
          <w:p w14:paraId="3CFDB93A" w14:textId="29C15DD7" w:rsidR="00DF2253" w:rsidRPr="00E36734" w:rsidRDefault="00DF2253" w:rsidP="00DF2253">
            <w:pPr>
              <w:spacing w:before="240" w:after="0" w:line="240" w:lineRule="auto"/>
              <w:jc w:val="center"/>
              <w:textAlignment w:val="center"/>
              <w:rPr>
                <w:rFonts w:eastAsia="Times New Roman" w:cstheme="minorHAnsi"/>
                <w:sz w:val="18"/>
                <w:szCs w:val="18"/>
                <w:lang w:val="en-US"/>
              </w:rPr>
            </w:pPr>
            <w:r w:rsidRPr="00E36734">
              <w:t>83,1</w:t>
            </w:r>
          </w:p>
        </w:tc>
        <w:tc>
          <w:tcPr>
            <w:tcW w:w="2150" w:type="dxa"/>
            <w:shd w:val="clear" w:color="auto" w:fill="auto"/>
          </w:tcPr>
          <w:p w14:paraId="6CB7B052" w14:textId="15750B69" w:rsidR="00DF2253" w:rsidRPr="00E36734" w:rsidRDefault="00DF2253" w:rsidP="00DF2253">
            <w:pPr>
              <w:spacing w:before="240" w:after="0" w:line="240" w:lineRule="auto"/>
              <w:jc w:val="center"/>
              <w:textAlignment w:val="center"/>
              <w:rPr>
                <w:rFonts w:eastAsia="Microsoft JhengHei UI" w:cstheme="minorHAnsi"/>
                <w:color w:val="000000"/>
                <w:kern w:val="24"/>
                <w:sz w:val="18"/>
                <w:szCs w:val="18"/>
              </w:rPr>
            </w:pPr>
            <w:r w:rsidRPr="00E36734">
              <w:t>82,4</w:t>
            </w:r>
          </w:p>
        </w:tc>
      </w:tr>
      <w:tr w:rsidR="00DF2253" w:rsidRPr="00E36734" w14:paraId="47AAE29F" w14:textId="77777777" w:rsidTr="0035471D">
        <w:trPr>
          <w:trHeight w:val="458"/>
        </w:trPr>
        <w:tc>
          <w:tcPr>
            <w:tcW w:w="1809" w:type="dxa"/>
            <w:shd w:val="clear" w:color="auto" w:fill="auto"/>
            <w:tcMar>
              <w:top w:w="12" w:type="dxa"/>
              <w:left w:w="12" w:type="dxa"/>
              <w:bottom w:w="0" w:type="dxa"/>
              <w:right w:w="12" w:type="dxa"/>
            </w:tcMar>
            <w:vAlign w:val="center"/>
            <w:hideMark/>
          </w:tcPr>
          <w:p w14:paraId="7D6A36B4" w14:textId="0533A8CB" w:rsidR="00DF2253" w:rsidRPr="00E36734" w:rsidRDefault="00DF2253" w:rsidP="00DF2253">
            <w:pPr>
              <w:spacing w:before="240" w:after="0" w:line="240" w:lineRule="auto"/>
              <w:jc w:val="center"/>
              <w:textAlignment w:val="bottom"/>
              <w:rPr>
                <w:rFonts w:eastAsia="Times New Roman" w:cstheme="minorHAnsi"/>
                <w:sz w:val="18"/>
                <w:szCs w:val="18"/>
                <w:lang w:val="en-US"/>
              </w:rPr>
            </w:pPr>
            <w:r w:rsidRPr="00E36734">
              <w:rPr>
                <w:rFonts w:eastAsia="Microsoft JhengHei UI" w:cstheme="minorHAnsi"/>
                <w:color w:val="000000"/>
                <w:kern w:val="24"/>
                <w:sz w:val="18"/>
                <w:szCs w:val="18"/>
              </w:rPr>
              <w:t>Δ.Ξ/Δ.Α</w:t>
            </w:r>
          </w:p>
        </w:tc>
        <w:tc>
          <w:tcPr>
            <w:tcW w:w="2185" w:type="dxa"/>
            <w:shd w:val="clear" w:color="auto" w:fill="auto"/>
            <w:tcMar>
              <w:top w:w="12" w:type="dxa"/>
              <w:left w:w="12" w:type="dxa"/>
              <w:bottom w:w="0" w:type="dxa"/>
              <w:right w:w="12" w:type="dxa"/>
            </w:tcMar>
            <w:hideMark/>
          </w:tcPr>
          <w:p w14:paraId="6EC198B7" w14:textId="2841AA08" w:rsidR="00DF2253" w:rsidRPr="00E36734" w:rsidRDefault="00DF2253" w:rsidP="00DF2253">
            <w:pPr>
              <w:spacing w:before="240" w:after="0" w:line="240" w:lineRule="auto"/>
              <w:jc w:val="center"/>
              <w:textAlignment w:val="center"/>
              <w:rPr>
                <w:rFonts w:eastAsia="Times New Roman" w:cstheme="minorHAnsi"/>
                <w:sz w:val="18"/>
                <w:szCs w:val="18"/>
                <w:lang w:val="en-US"/>
              </w:rPr>
            </w:pPr>
            <w:r w:rsidRPr="00E36734">
              <w:t>1,6</w:t>
            </w:r>
          </w:p>
        </w:tc>
        <w:tc>
          <w:tcPr>
            <w:tcW w:w="2064" w:type="dxa"/>
            <w:shd w:val="clear" w:color="auto" w:fill="auto"/>
            <w:tcMar>
              <w:top w:w="12" w:type="dxa"/>
              <w:left w:w="12" w:type="dxa"/>
              <w:bottom w:w="0" w:type="dxa"/>
              <w:right w:w="12" w:type="dxa"/>
            </w:tcMar>
            <w:hideMark/>
          </w:tcPr>
          <w:p w14:paraId="140C921B" w14:textId="70D74A29" w:rsidR="00DF2253" w:rsidRPr="00E36734" w:rsidRDefault="00DF2253" w:rsidP="00DF2253">
            <w:pPr>
              <w:spacing w:before="240" w:after="0" w:line="240" w:lineRule="auto"/>
              <w:jc w:val="center"/>
              <w:textAlignment w:val="center"/>
              <w:rPr>
                <w:rFonts w:eastAsia="Times New Roman" w:cstheme="minorHAnsi"/>
                <w:sz w:val="18"/>
                <w:szCs w:val="18"/>
                <w:lang w:val="en-US"/>
              </w:rPr>
            </w:pPr>
            <w:r w:rsidRPr="00E36734">
              <w:t>3,6</w:t>
            </w:r>
          </w:p>
        </w:tc>
        <w:tc>
          <w:tcPr>
            <w:tcW w:w="2164" w:type="dxa"/>
            <w:shd w:val="clear" w:color="auto" w:fill="auto"/>
            <w:tcMar>
              <w:top w:w="12" w:type="dxa"/>
              <w:left w:w="12" w:type="dxa"/>
              <w:bottom w:w="0" w:type="dxa"/>
              <w:right w:w="12" w:type="dxa"/>
            </w:tcMar>
            <w:hideMark/>
          </w:tcPr>
          <w:p w14:paraId="414DBF65" w14:textId="06B5B849" w:rsidR="00DF2253" w:rsidRPr="00E36734" w:rsidRDefault="00DF2253" w:rsidP="00DF2253">
            <w:pPr>
              <w:spacing w:before="240" w:after="0" w:line="240" w:lineRule="auto"/>
              <w:jc w:val="center"/>
              <w:textAlignment w:val="center"/>
              <w:rPr>
                <w:rFonts w:eastAsia="Times New Roman" w:cstheme="minorHAnsi"/>
                <w:sz w:val="18"/>
                <w:szCs w:val="18"/>
                <w:lang w:val="en-US"/>
              </w:rPr>
            </w:pPr>
            <w:r w:rsidRPr="00E36734">
              <w:t>2,2</w:t>
            </w:r>
          </w:p>
        </w:tc>
        <w:tc>
          <w:tcPr>
            <w:tcW w:w="2150" w:type="dxa"/>
            <w:shd w:val="clear" w:color="auto" w:fill="auto"/>
          </w:tcPr>
          <w:p w14:paraId="5EB45843" w14:textId="295E645F" w:rsidR="00DF2253" w:rsidRPr="00E36734" w:rsidRDefault="00DF2253" w:rsidP="00DF2253">
            <w:pPr>
              <w:spacing w:before="240" w:after="0" w:line="240" w:lineRule="auto"/>
              <w:jc w:val="center"/>
              <w:textAlignment w:val="center"/>
              <w:rPr>
                <w:rFonts w:eastAsia="Microsoft JhengHei UI" w:cstheme="minorHAnsi"/>
                <w:color w:val="000000"/>
                <w:kern w:val="24"/>
                <w:sz w:val="18"/>
                <w:szCs w:val="18"/>
                <w:lang w:val="en-US"/>
              </w:rPr>
            </w:pPr>
            <w:r w:rsidRPr="00E36734">
              <w:t>1,5</w:t>
            </w:r>
          </w:p>
        </w:tc>
      </w:tr>
    </w:tbl>
    <w:p w14:paraId="1A2E6792" w14:textId="77777777" w:rsidR="000E5AE6" w:rsidRPr="00E36734" w:rsidRDefault="000E5AE6" w:rsidP="00761263">
      <w:pPr>
        <w:spacing w:after="0" w:line="360" w:lineRule="auto"/>
        <w:jc w:val="both"/>
        <w:rPr>
          <w:rFonts w:ascii="Times New Roman" w:eastAsia="Times New Roman" w:hAnsi="Times New Roman" w:cs="Times New Roman"/>
          <w:sz w:val="24"/>
          <w:szCs w:val="24"/>
          <w:lang w:eastAsia="el-GR"/>
        </w:rPr>
      </w:pPr>
    </w:p>
    <w:p w14:paraId="36F2B045" w14:textId="53A99D7A" w:rsidR="005C627F" w:rsidRPr="00E36734" w:rsidRDefault="005C627F" w:rsidP="00761263">
      <w:pPr>
        <w:spacing w:after="0" w:line="360" w:lineRule="auto"/>
        <w:rPr>
          <w:rFonts w:ascii="Times New Roman" w:eastAsia="Times New Roman" w:hAnsi="Times New Roman" w:cs="Times New Roman"/>
          <w:noProof/>
          <w:sz w:val="24"/>
          <w:szCs w:val="24"/>
          <w:lang w:eastAsia="el-GR"/>
        </w:rPr>
      </w:pPr>
    </w:p>
    <w:p w14:paraId="2D0B447D" w14:textId="244F29DB" w:rsidR="0017211B" w:rsidRPr="00E36734" w:rsidRDefault="0017211B" w:rsidP="00761263">
      <w:pPr>
        <w:spacing w:after="0" w:line="360" w:lineRule="auto"/>
        <w:rPr>
          <w:rFonts w:ascii="Times New Roman" w:eastAsia="Times New Roman" w:hAnsi="Times New Roman" w:cs="Times New Roman"/>
          <w:noProof/>
          <w:sz w:val="24"/>
          <w:szCs w:val="24"/>
          <w:lang w:eastAsia="el-GR"/>
        </w:rPr>
      </w:pPr>
    </w:p>
    <w:p w14:paraId="0C05841D" w14:textId="77777777" w:rsidR="0017211B" w:rsidRPr="00E36734" w:rsidRDefault="0017211B" w:rsidP="00761263">
      <w:pPr>
        <w:spacing w:after="0" w:line="360" w:lineRule="auto"/>
        <w:rPr>
          <w:rFonts w:ascii="Times New Roman" w:eastAsia="Times New Roman" w:hAnsi="Times New Roman" w:cs="Times New Roman"/>
          <w:noProof/>
          <w:sz w:val="24"/>
          <w:szCs w:val="24"/>
          <w:lang w:eastAsia="el-GR"/>
        </w:rPr>
      </w:pPr>
    </w:p>
    <w:p w14:paraId="6F4460B9" w14:textId="77777777" w:rsidR="00A9257F" w:rsidRPr="00E36734" w:rsidRDefault="00A9257F" w:rsidP="00761263">
      <w:pPr>
        <w:pStyle w:val="a5"/>
        <w:numPr>
          <w:ilvl w:val="0"/>
          <w:numId w:val="1"/>
        </w:num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b/>
          <w:sz w:val="24"/>
          <w:szCs w:val="24"/>
          <w:u w:val="single"/>
          <w:lang w:eastAsia="el-GR"/>
        </w:rPr>
        <w:lastRenderedPageBreak/>
        <w:t>ΥΠΟΧΡΕΩΣΕΙΣ ΚΑΙ ΟΦΕΙΛΕΣ ΕΠΙΧΕΙΡΗΣΕΩΝ</w:t>
      </w:r>
    </w:p>
    <w:p w14:paraId="158C4339" w14:textId="7E8B5E83" w:rsidR="009F6718" w:rsidRPr="00E36734" w:rsidRDefault="0021116B" w:rsidP="0021116B">
      <w:pPr>
        <w:spacing w:after="0" w:line="360" w:lineRule="auto"/>
        <w:jc w:val="both"/>
        <w:rPr>
          <w:rFonts w:ascii="Times New Roman" w:eastAsia="Times New Roman" w:hAnsi="Times New Roman" w:cs="Times New Roman"/>
          <w:sz w:val="24"/>
          <w:szCs w:val="24"/>
          <w:lang w:eastAsia="el-GR"/>
        </w:rPr>
      </w:pPr>
      <w:bookmarkStart w:id="20" w:name="_Hlk68090256"/>
      <w:r w:rsidRPr="00E36734">
        <w:rPr>
          <w:rFonts w:ascii="Times New Roman" w:eastAsia="Times New Roman" w:hAnsi="Times New Roman" w:cs="Times New Roman"/>
          <w:sz w:val="24"/>
          <w:szCs w:val="24"/>
          <w:lang w:eastAsia="el-GR"/>
        </w:rPr>
        <w:t xml:space="preserve">Υψηλά </w:t>
      </w:r>
      <w:r w:rsidR="00A108EE" w:rsidRPr="00E36734">
        <w:rPr>
          <w:rFonts w:ascii="Times New Roman" w:eastAsia="Times New Roman" w:hAnsi="Times New Roman" w:cs="Times New Roman"/>
          <w:sz w:val="24"/>
          <w:szCs w:val="24"/>
          <w:lang w:eastAsia="el-GR"/>
        </w:rPr>
        <w:t>παραμένουν</w:t>
      </w:r>
      <w:r w:rsidRPr="00E36734">
        <w:rPr>
          <w:rFonts w:ascii="Times New Roman" w:eastAsia="Times New Roman" w:hAnsi="Times New Roman" w:cs="Times New Roman"/>
          <w:sz w:val="24"/>
          <w:szCs w:val="24"/>
          <w:lang w:eastAsia="el-GR"/>
        </w:rPr>
        <w:t xml:space="preserve"> τα ποσοστά των επιχειρήσεων που </w:t>
      </w:r>
      <w:r w:rsidR="00971CF2" w:rsidRPr="00E36734">
        <w:rPr>
          <w:rFonts w:ascii="Times New Roman" w:eastAsia="Times New Roman" w:hAnsi="Times New Roman" w:cs="Times New Roman"/>
          <w:sz w:val="24"/>
          <w:szCs w:val="24"/>
          <w:lang w:eastAsia="el-GR"/>
        </w:rPr>
        <w:t xml:space="preserve">δηλώνουν πως </w:t>
      </w:r>
      <w:r w:rsidRPr="00E36734">
        <w:rPr>
          <w:rFonts w:ascii="Times New Roman" w:eastAsia="Times New Roman" w:hAnsi="Times New Roman" w:cs="Times New Roman"/>
          <w:sz w:val="24"/>
          <w:szCs w:val="24"/>
          <w:lang w:eastAsia="el-GR"/>
        </w:rPr>
        <w:t>έχουν</w:t>
      </w:r>
      <w:r w:rsidR="00AB1C80" w:rsidRPr="00E36734">
        <w:rPr>
          <w:rFonts w:ascii="Times New Roman" w:eastAsia="Times New Roman" w:hAnsi="Times New Roman" w:cs="Times New Roman"/>
          <w:sz w:val="24"/>
          <w:szCs w:val="24"/>
          <w:lang w:eastAsia="el-GR"/>
        </w:rPr>
        <w:t xml:space="preserve"> ληξιπρόθεσμες οφειλές</w:t>
      </w:r>
      <w:r w:rsidR="00A108EE" w:rsidRPr="00E36734">
        <w:rPr>
          <w:rFonts w:ascii="Times New Roman" w:eastAsia="Times New Roman" w:hAnsi="Times New Roman" w:cs="Times New Roman"/>
          <w:sz w:val="24"/>
          <w:szCs w:val="24"/>
          <w:lang w:eastAsia="el-GR"/>
        </w:rPr>
        <w:t xml:space="preserve">, παρόλο που </w:t>
      </w:r>
      <w:r w:rsidR="009F6718" w:rsidRPr="00E36734">
        <w:rPr>
          <w:rFonts w:ascii="Times New Roman" w:eastAsia="Times New Roman" w:hAnsi="Times New Roman" w:cs="Times New Roman"/>
          <w:sz w:val="24"/>
          <w:szCs w:val="24"/>
          <w:lang w:eastAsia="el-GR"/>
        </w:rPr>
        <w:t>στις περισσότερες</w:t>
      </w:r>
      <w:r w:rsidR="00A108EE" w:rsidRPr="00E36734">
        <w:rPr>
          <w:rFonts w:ascii="Times New Roman" w:eastAsia="Times New Roman" w:hAnsi="Times New Roman" w:cs="Times New Roman"/>
          <w:sz w:val="24"/>
          <w:szCs w:val="24"/>
          <w:lang w:eastAsia="el-GR"/>
        </w:rPr>
        <w:t xml:space="preserve"> κατηγορίες υποχρεώσεων</w:t>
      </w:r>
      <w:r w:rsidRPr="00E36734">
        <w:rPr>
          <w:rFonts w:ascii="Times New Roman" w:eastAsia="Times New Roman" w:hAnsi="Times New Roman" w:cs="Times New Roman"/>
          <w:sz w:val="24"/>
          <w:szCs w:val="24"/>
          <w:lang w:eastAsia="el-GR"/>
        </w:rPr>
        <w:t xml:space="preserve"> είναι </w:t>
      </w:r>
      <w:r w:rsidR="002103D0" w:rsidRPr="00E36734">
        <w:rPr>
          <w:rFonts w:ascii="Times New Roman" w:eastAsia="Times New Roman" w:hAnsi="Times New Roman" w:cs="Times New Roman"/>
          <w:sz w:val="24"/>
          <w:szCs w:val="24"/>
          <w:lang w:eastAsia="el-GR"/>
        </w:rPr>
        <w:t>μειωμένα σε σύγκριση με</w:t>
      </w:r>
      <w:r w:rsidRPr="00E36734">
        <w:rPr>
          <w:rFonts w:ascii="Times New Roman" w:eastAsia="Times New Roman" w:hAnsi="Times New Roman" w:cs="Times New Roman"/>
          <w:sz w:val="24"/>
          <w:szCs w:val="24"/>
          <w:lang w:eastAsia="el-GR"/>
        </w:rPr>
        <w:t xml:space="preserve"> εκείνα τ</w:t>
      </w:r>
      <w:r w:rsidR="009F6718" w:rsidRPr="00E36734">
        <w:rPr>
          <w:rFonts w:ascii="Times New Roman" w:eastAsia="Times New Roman" w:hAnsi="Times New Roman" w:cs="Times New Roman"/>
          <w:sz w:val="24"/>
          <w:szCs w:val="24"/>
          <w:lang w:eastAsia="el-GR"/>
        </w:rPr>
        <w:t>η</w:t>
      </w:r>
      <w:r w:rsidRPr="00E36734">
        <w:rPr>
          <w:rFonts w:ascii="Times New Roman" w:eastAsia="Times New Roman" w:hAnsi="Times New Roman" w:cs="Times New Roman"/>
          <w:sz w:val="24"/>
          <w:szCs w:val="24"/>
          <w:lang w:eastAsia="el-GR"/>
        </w:rPr>
        <w:t xml:space="preserve">ς </w:t>
      </w:r>
      <w:r w:rsidR="009F6718" w:rsidRPr="00E36734">
        <w:rPr>
          <w:rFonts w:ascii="Times New Roman" w:eastAsia="Times New Roman" w:hAnsi="Times New Roman" w:cs="Times New Roman"/>
          <w:sz w:val="24"/>
          <w:szCs w:val="24"/>
          <w:lang w:eastAsia="el-GR"/>
        </w:rPr>
        <w:t xml:space="preserve">προηγούμενης εξαμηνιαίας </w:t>
      </w:r>
      <w:r w:rsidRPr="00E36734">
        <w:rPr>
          <w:rFonts w:ascii="Times New Roman" w:eastAsia="Times New Roman" w:hAnsi="Times New Roman" w:cs="Times New Roman"/>
          <w:sz w:val="24"/>
          <w:szCs w:val="24"/>
          <w:lang w:eastAsia="el-GR"/>
        </w:rPr>
        <w:t xml:space="preserve">έρευνας του </w:t>
      </w:r>
      <w:r w:rsidR="009F6718" w:rsidRPr="00E36734">
        <w:rPr>
          <w:rFonts w:ascii="Times New Roman" w:eastAsia="Times New Roman" w:hAnsi="Times New Roman" w:cs="Times New Roman"/>
          <w:sz w:val="24"/>
          <w:szCs w:val="24"/>
          <w:lang w:eastAsia="el-GR"/>
        </w:rPr>
        <w:t>ΙΜΕ ΓΣΕΒΕΕ (Ιούλιος 2020)</w:t>
      </w:r>
      <w:r w:rsidRPr="00E36734">
        <w:rPr>
          <w:rFonts w:ascii="Times New Roman" w:eastAsia="Times New Roman" w:hAnsi="Times New Roman" w:cs="Times New Roman"/>
          <w:sz w:val="24"/>
          <w:szCs w:val="24"/>
          <w:lang w:eastAsia="el-GR"/>
        </w:rPr>
        <w:t xml:space="preserve">. </w:t>
      </w:r>
      <w:r w:rsidR="009F6718" w:rsidRPr="00E36734">
        <w:rPr>
          <w:rFonts w:ascii="Times New Roman" w:eastAsia="Times New Roman" w:hAnsi="Times New Roman" w:cs="Times New Roman"/>
          <w:sz w:val="24"/>
          <w:szCs w:val="24"/>
          <w:lang w:eastAsia="el-GR"/>
        </w:rPr>
        <w:t>Επιπλέον,</w:t>
      </w:r>
      <w:r w:rsidR="005C627F" w:rsidRPr="00E36734">
        <w:rPr>
          <w:rFonts w:ascii="Times New Roman" w:eastAsia="Times New Roman" w:hAnsi="Times New Roman" w:cs="Times New Roman"/>
          <w:sz w:val="24"/>
          <w:szCs w:val="24"/>
          <w:lang w:eastAsia="el-GR"/>
        </w:rPr>
        <w:t xml:space="preserve"> και σε αυτούς τους δείκτες</w:t>
      </w:r>
      <w:r w:rsidR="009F6718" w:rsidRPr="00E36734">
        <w:rPr>
          <w:rFonts w:ascii="Times New Roman" w:eastAsia="Times New Roman" w:hAnsi="Times New Roman" w:cs="Times New Roman"/>
          <w:sz w:val="24"/>
          <w:szCs w:val="24"/>
          <w:lang w:eastAsia="el-GR"/>
        </w:rPr>
        <w:t xml:space="preserve"> παρουσιάζονται σημαντικές διαφοροποιήσεις μεταξύ των επιχειρήσεων. Οι επιχειρήσεις που αντιμετωπίζουν μεγαλύτερα προβλήματα αποπληρωμής των υποχρεώσεων τους παρατηρούνται περισσότερο σε εκείνες που ανέστειλαν την λειτουργία τους με κρατική εντολή, έναντι των υπόλοιπων.</w:t>
      </w:r>
    </w:p>
    <w:p w14:paraId="27904093" w14:textId="4329CDD2" w:rsidR="00FF742A" w:rsidRPr="00E36734" w:rsidRDefault="00AB1C80" w:rsidP="00FF742A">
      <w:p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 xml:space="preserve">Όπου έχουν ληφθεί </w:t>
      </w:r>
      <w:r w:rsidR="0021116B" w:rsidRPr="00E36734">
        <w:rPr>
          <w:rFonts w:ascii="Times New Roman" w:eastAsia="Times New Roman" w:hAnsi="Times New Roman" w:cs="Times New Roman"/>
          <w:sz w:val="24"/>
          <w:szCs w:val="24"/>
          <w:lang w:eastAsia="el-GR"/>
        </w:rPr>
        <w:t xml:space="preserve">αποτελεσματικά </w:t>
      </w:r>
      <w:r w:rsidRPr="00E36734">
        <w:rPr>
          <w:rFonts w:ascii="Times New Roman" w:eastAsia="Times New Roman" w:hAnsi="Times New Roman" w:cs="Times New Roman"/>
          <w:sz w:val="24"/>
          <w:szCs w:val="24"/>
          <w:lang w:eastAsia="el-GR"/>
        </w:rPr>
        <w:t xml:space="preserve">μέτρα για την ανακούφιση των επιχειρήσεων οι </w:t>
      </w:r>
      <w:r w:rsidR="0021116B" w:rsidRPr="00E36734">
        <w:rPr>
          <w:rFonts w:ascii="Times New Roman" w:eastAsia="Times New Roman" w:hAnsi="Times New Roman" w:cs="Times New Roman"/>
          <w:sz w:val="24"/>
          <w:szCs w:val="24"/>
          <w:lang w:eastAsia="el-GR"/>
        </w:rPr>
        <w:t xml:space="preserve">ληξιπρόθεσμες </w:t>
      </w:r>
      <w:r w:rsidRPr="00E36734">
        <w:rPr>
          <w:rFonts w:ascii="Times New Roman" w:eastAsia="Times New Roman" w:hAnsi="Times New Roman" w:cs="Times New Roman"/>
          <w:sz w:val="24"/>
          <w:szCs w:val="24"/>
          <w:lang w:eastAsia="el-GR"/>
        </w:rPr>
        <w:t>οφειλές φαίνεται πως έχουν συγκρατηθεί</w:t>
      </w:r>
      <w:bookmarkEnd w:id="20"/>
      <w:r w:rsidRPr="00E36734">
        <w:rPr>
          <w:rFonts w:ascii="Times New Roman" w:eastAsia="Times New Roman" w:hAnsi="Times New Roman" w:cs="Times New Roman"/>
          <w:sz w:val="24"/>
          <w:szCs w:val="24"/>
          <w:lang w:eastAsia="el-GR"/>
        </w:rPr>
        <w:t xml:space="preserve">. </w:t>
      </w:r>
      <w:r w:rsidR="009F6718" w:rsidRPr="00E36734">
        <w:rPr>
          <w:rFonts w:ascii="Times New Roman" w:eastAsia="Times New Roman" w:hAnsi="Times New Roman" w:cs="Times New Roman"/>
          <w:sz w:val="24"/>
          <w:szCs w:val="24"/>
          <w:lang w:eastAsia="el-GR"/>
        </w:rPr>
        <w:t>Ειδικότερα, όσον αφορά τα ενοίκια, το ποσοστό των επιχειρήσεων που έχει καθυστερημένες οφειλές είναι μειωμένο σε σχέση με την προηγουμένη έρευνα του ΙΜΕ ΓΣΕΒΕΕ προσεγγίζοντας τα επίπεδα της προ Covid-19 περιόδου. Συγκεκριμένα το 23% των επιχειρήσεων που δεν έχουν ιδιόκτητη επαγγελματική στέγη δήλωσαν πως έχουν καθυστερημένες οφειλές ενοικίου έναντι του 30% που ήταν το αντίστοιχο ποσοστό της έρευνας του Ιουλίου του 2020. Φαίνεται πως τα μέτρα μείωσης/απαλλαγής ενοικίου που έχουν ληφθεί έχουν οδηγήσει σε μείωση των οφειλετών. Μεγαλύτερο είναι</w:t>
      </w:r>
      <w:r w:rsidR="00170F96" w:rsidRPr="00E36734">
        <w:rPr>
          <w:rFonts w:ascii="Times New Roman" w:eastAsia="Times New Roman" w:hAnsi="Times New Roman" w:cs="Times New Roman"/>
          <w:sz w:val="24"/>
          <w:szCs w:val="24"/>
          <w:lang w:eastAsia="el-GR"/>
        </w:rPr>
        <w:t>,</w:t>
      </w:r>
      <w:r w:rsidR="009F6718" w:rsidRPr="00E36734">
        <w:rPr>
          <w:rFonts w:ascii="Times New Roman" w:eastAsia="Times New Roman" w:hAnsi="Times New Roman" w:cs="Times New Roman"/>
          <w:sz w:val="24"/>
          <w:szCs w:val="24"/>
          <w:lang w:eastAsia="el-GR"/>
        </w:rPr>
        <w:t xml:space="preserve"> ωστόσο</w:t>
      </w:r>
      <w:r w:rsidR="00170F96" w:rsidRPr="00E36734">
        <w:rPr>
          <w:rFonts w:ascii="Times New Roman" w:eastAsia="Times New Roman" w:hAnsi="Times New Roman" w:cs="Times New Roman"/>
          <w:sz w:val="24"/>
          <w:szCs w:val="24"/>
          <w:lang w:eastAsia="el-GR"/>
        </w:rPr>
        <w:t>,</w:t>
      </w:r>
      <w:r w:rsidR="009F6718" w:rsidRPr="00E36734">
        <w:rPr>
          <w:rFonts w:ascii="Times New Roman" w:eastAsia="Times New Roman" w:hAnsi="Times New Roman" w:cs="Times New Roman"/>
          <w:sz w:val="24"/>
          <w:szCs w:val="24"/>
          <w:lang w:eastAsia="el-GR"/>
        </w:rPr>
        <w:t xml:space="preserve"> το ποσοστό των επιχειρήσεων που έχουν αναστείλει τη λειτουργία τους με κρατική και έχουν καθυστερημένες οφειλές ενοικίου. Συγκεκριμένα</w:t>
      </w:r>
      <w:r w:rsidR="00170F96" w:rsidRPr="00E36734">
        <w:rPr>
          <w:rFonts w:ascii="Times New Roman" w:eastAsia="Times New Roman" w:hAnsi="Times New Roman" w:cs="Times New Roman"/>
          <w:sz w:val="24"/>
          <w:szCs w:val="24"/>
          <w:lang w:eastAsia="el-GR"/>
        </w:rPr>
        <w:t>,</w:t>
      </w:r>
      <w:r w:rsidR="009F6718" w:rsidRPr="00E36734">
        <w:rPr>
          <w:rFonts w:ascii="Times New Roman" w:eastAsia="Times New Roman" w:hAnsi="Times New Roman" w:cs="Times New Roman"/>
          <w:sz w:val="24"/>
          <w:szCs w:val="24"/>
          <w:lang w:eastAsia="el-GR"/>
        </w:rPr>
        <w:t xml:space="preserve"> </w:t>
      </w:r>
      <w:r w:rsidR="002827F0" w:rsidRPr="00E36734">
        <w:rPr>
          <w:rFonts w:ascii="Times New Roman" w:eastAsia="Times New Roman" w:hAnsi="Times New Roman" w:cs="Times New Roman"/>
          <w:sz w:val="24"/>
          <w:szCs w:val="24"/>
          <w:lang w:eastAsia="el-GR"/>
        </w:rPr>
        <w:t>το 28,6%</w:t>
      </w:r>
      <w:r w:rsidR="009F6718" w:rsidRPr="00E36734">
        <w:rPr>
          <w:rFonts w:ascii="Times New Roman" w:eastAsia="Times New Roman" w:hAnsi="Times New Roman" w:cs="Times New Roman"/>
          <w:sz w:val="24"/>
          <w:szCs w:val="24"/>
          <w:lang w:eastAsia="el-GR"/>
        </w:rPr>
        <w:t xml:space="preserve"> </w:t>
      </w:r>
      <w:r w:rsidR="002827F0" w:rsidRPr="00E36734">
        <w:rPr>
          <w:rFonts w:ascii="Times New Roman" w:eastAsia="Times New Roman" w:hAnsi="Times New Roman" w:cs="Times New Roman"/>
          <w:sz w:val="24"/>
          <w:szCs w:val="24"/>
          <w:lang w:eastAsia="el-GR"/>
        </w:rPr>
        <w:t>των επιχειρήσεων αυτών</w:t>
      </w:r>
      <w:r w:rsidR="009F6718" w:rsidRPr="00E36734">
        <w:rPr>
          <w:rFonts w:ascii="Times New Roman" w:eastAsia="Times New Roman" w:hAnsi="Times New Roman" w:cs="Times New Roman"/>
          <w:sz w:val="24"/>
          <w:szCs w:val="24"/>
          <w:lang w:eastAsia="el-GR"/>
        </w:rPr>
        <w:t xml:space="preserve"> έχουν καθυστερημένες οφειλές ενοικίου</w:t>
      </w:r>
      <w:r w:rsidR="002827F0" w:rsidRPr="00E36734">
        <w:rPr>
          <w:rFonts w:ascii="Times New Roman" w:eastAsia="Times New Roman" w:hAnsi="Times New Roman" w:cs="Times New Roman"/>
          <w:sz w:val="24"/>
          <w:szCs w:val="24"/>
          <w:lang w:eastAsia="el-GR"/>
        </w:rPr>
        <w:t xml:space="preserve"> κάτι που πιθανόν να οφείλεται στο γεγονός πως η πλήρης απαλλαγή ενοικίου υιοθετήθηκε του τελευταίους μήνες</w:t>
      </w:r>
      <w:r w:rsidR="009F6718" w:rsidRPr="00E36734">
        <w:rPr>
          <w:rFonts w:ascii="Times New Roman" w:eastAsia="Times New Roman" w:hAnsi="Times New Roman" w:cs="Times New Roman"/>
          <w:sz w:val="24"/>
          <w:szCs w:val="24"/>
          <w:lang w:eastAsia="el-GR"/>
        </w:rPr>
        <w:t xml:space="preserve">.  </w:t>
      </w:r>
      <w:r w:rsidR="00FF742A" w:rsidRPr="00E36734">
        <w:rPr>
          <w:rFonts w:ascii="Times New Roman" w:eastAsia="Times New Roman" w:hAnsi="Times New Roman" w:cs="Times New Roman"/>
          <w:sz w:val="24"/>
          <w:szCs w:val="24"/>
          <w:lang w:eastAsia="el-GR"/>
        </w:rPr>
        <w:t>Ανάλογη είναι η εικόνα και ως προς τις ληξιπρόθεσμες οφειλές προς το πρώην ΙΚΑ, όπου καταγράφεται μείωση των οφειλετών κατά 4 ποσοστιαίες μονάδες (14,9% από 18,6%) σε σύγκριση με την αντίστοιχη εξαμηνιαία έρευνα του Ιουλίου του 2020, κάτι που πιθανότατα οφείλεται στα μέτρα στήριξης της απασχόλησης που έχουν ληφθεί και στα οποία προβλέπεται πλήρης κάλυψη των ασφαλιστικών εισφορών των εργαζομένων από το Δημόσιο. Ωστόσο και σε αυτή την κατηγορία υποχρεώσεων το ποσοστό των επιχειρήσεων που έχει αναστείλει τη λειτουργία του και έχει ληξιπρόθεσμες οφειλές προς το πρώην ΙΚΑ είναι αυξημένο (21,5%).</w:t>
      </w:r>
    </w:p>
    <w:p w14:paraId="7461A2B3" w14:textId="77777777" w:rsidR="00FF742A" w:rsidRPr="00E36734" w:rsidRDefault="00FF742A" w:rsidP="0021116B">
      <w:p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 xml:space="preserve">Από την άλλη μεριά όπου δεν έχουν ληφθεί στοχευμένα ή επαρκή μέτρα στήριξης </w:t>
      </w:r>
      <w:r w:rsidR="0021116B" w:rsidRPr="00E36734">
        <w:rPr>
          <w:rFonts w:ascii="Times New Roman" w:eastAsia="Times New Roman" w:hAnsi="Times New Roman" w:cs="Times New Roman"/>
          <w:sz w:val="24"/>
          <w:szCs w:val="24"/>
          <w:lang w:eastAsia="el-GR"/>
        </w:rPr>
        <w:t>παρατηρούνται υψηλά ποσοστά</w:t>
      </w:r>
      <w:r w:rsidR="00AB1C80" w:rsidRPr="00E36734">
        <w:rPr>
          <w:rFonts w:ascii="Times New Roman" w:eastAsia="Times New Roman" w:hAnsi="Times New Roman" w:cs="Times New Roman"/>
          <w:sz w:val="24"/>
          <w:szCs w:val="24"/>
          <w:lang w:eastAsia="el-GR"/>
        </w:rPr>
        <w:t xml:space="preserve"> μικρών και πολύ μικρών επιχειρήσεων</w:t>
      </w:r>
      <w:r w:rsidR="0021116B" w:rsidRPr="00E36734">
        <w:rPr>
          <w:rFonts w:ascii="Times New Roman" w:eastAsia="Times New Roman" w:hAnsi="Times New Roman" w:cs="Times New Roman"/>
          <w:sz w:val="24"/>
          <w:szCs w:val="24"/>
          <w:lang w:eastAsia="el-GR"/>
        </w:rPr>
        <w:t xml:space="preserve"> που αδυνατούν να ανταπεξέλθουν στις υποχρεώσεις</w:t>
      </w:r>
      <w:r w:rsidR="00D00475" w:rsidRPr="00E36734">
        <w:rPr>
          <w:rFonts w:ascii="Times New Roman" w:eastAsia="Times New Roman" w:hAnsi="Times New Roman" w:cs="Times New Roman"/>
          <w:sz w:val="24"/>
          <w:szCs w:val="24"/>
          <w:lang w:eastAsia="el-GR"/>
        </w:rPr>
        <w:t xml:space="preserve"> τους</w:t>
      </w:r>
      <w:r w:rsidR="00AB1C80" w:rsidRPr="00E36734">
        <w:rPr>
          <w:rFonts w:ascii="Times New Roman" w:eastAsia="Times New Roman" w:hAnsi="Times New Roman" w:cs="Times New Roman"/>
          <w:sz w:val="24"/>
          <w:szCs w:val="24"/>
          <w:lang w:eastAsia="el-GR"/>
        </w:rPr>
        <w:t>.</w:t>
      </w:r>
    </w:p>
    <w:p w14:paraId="65AB6310" w14:textId="1C094590" w:rsidR="00121769" w:rsidRPr="00E36734" w:rsidRDefault="00FF742A" w:rsidP="0021116B">
      <w:p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Ειδικότερα</w:t>
      </w:r>
      <w:r w:rsidR="00170F96" w:rsidRPr="00E36734">
        <w:rPr>
          <w:rFonts w:ascii="Times New Roman" w:eastAsia="Times New Roman" w:hAnsi="Times New Roman" w:cs="Times New Roman"/>
          <w:sz w:val="24"/>
          <w:szCs w:val="24"/>
          <w:lang w:eastAsia="el-GR"/>
        </w:rPr>
        <w:t>,</w:t>
      </w:r>
      <w:r w:rsidRPr="00E36734">
        <w:rPr>
          <w:rFonts w:ascii="Times New Roman" w:eastAsia="Times New Roman" w:hAnsi="Times New Roman" w:cs="Times New Roman"/>
          <w:sz w:val="24"/>
          <w:szCs w:val="24"/>
          <w:lang w:eastAsia="el-GR"/>
        </w:rPr>
        <w:t xml:space="preserve"> αυξημένα σε σχέση με την έρευνα του Ιουλίου του 2020 είναι τα ποσοστά των επιχειρήσεων που έχουν ληξιπρόθεσμες οφειλές προς τον πρώην ΟΑΕΕ</w:t>
      </w:r>
      <w:r w:rsidR="00AB1C80" w:rsidRPr="00E36734">
        <w:rPr>
          <w:rFonts w:ascii="Times New Roman" w:eastAsia="Times New Roman" w:hAnsi="Times New Roman" w:cs="Times New Roman"/>
          <w:sz w:val="24"/>
          <w:szCs w:val="24"/>
          <w:lang w:eastAsia="el-GR"/>
        </w:rPr>
        <w:t xml:space="preserve"> </w:t>
      </w:r>
      <w:r w:rsidRPr="00E36734">
        <w:rPr>
          <w:rFonts w:ascii="Times New Roman" w:eastAsia="Times New Roman" w:hAnsi="Times New Roman" w:cs="Times New Roman"/>
          <w:sz w:val="24"/>
          <w:szCs w:val="24"/>
          <w:lang w:eastAsia="el-GR"/>
        </w:rPr>
        <w:t xml:space="preserve">(26,3% έναντι 25,3%) και </w:t>
      </w:r>
      <w:r w:rsidR="00121769" w:rsidRPr="00E36734">
        <w:rPr>
          <w:rFonts w:ascii="Times New Roman" w:eastAsia="Times New Roman" w:hAnsi="Times New Roman" w:cs="Times New Roman"/>
          <w:sz w:val="24"/>
          <w:szCs w:val="24"/>
          <w:lang w:eastAsia="el-GR"/>
        </w:rPr>
        <w:t>για τις επιχειρήσεις που έχουν τραπεζικό δάνειο</w:t>
      </w:r>
      <w:r w:rsidRPr="00E36734">
        <w:rPr>
          <w:rFonts w:ascii="Times New Roman" w:eastAsia="Times New Roman" w:hAnsi="Times New Roman" w:cs="Times New Roman"/>
          <w:sz w:val="24"/>
          <w:szCs w:val="24"/>
          <w:lang w:eastAsia="el-GR"/>
        </w:rPr>
        <w:t xml:space="preserve"> (32,9% έναντι 29,2%). </w:t>
      </w:r>
      <w:r w:rsidR="00121769" w:rsidRPr="00E36734">
        <w:rPr>
          <w:rFonts w:ascii="Times New Roman" w:eastAsia="Times New Roman" w:hAnsi="Times New Roman" w:cs="Times New Roman"/>
          <w:sz w:val="24"/>
          <w:szCs w:val="24"/>
          <w:lang w:eastAsia="el-GR"/>
        </w:rPr>
        <w:t>Μάλιστα</w:t>
      </w:r>
      <w:r w:rsidR="00170F96" w:rsidRPr="00E36734">
        <w:rPr>
          <w:rFonts w:ascii="Times New Roman" w:eastAsia="Times New Roman" w:hAnsi="Times New Roman" w:cs="Times New Roman"/>
          <w:sz w:val="24"/>
          <w:szCs w:val="24"/>
          <w:lang w:eastAsia="el-GR"/>
        </w:rPr>
        <w:t>,</w:t>
      </w:r>
      <w:r w:rsidR="00121769" w:rsidRPr="00E36734">
        <w:rPr>
          <w:rFonts w:ascii="Times New Roman" w:eastAsia="Times New Roman" w:hAnsi="Times New Roman" w:cs="Times New Roman"/>
          <w:sz w:val="24"/>
          <w:szCs w:val="24"/>
          <w:lang w:eastAsia="el-GR"/>
        </w:rPr>
        <w:t xml:space="preserve"> τα ποσοστά αυτά εκτινάσσονται για τις επιχειρήσεις που έχουν αναστείλει τη λειτουργία τους με κρατική εντολή. Συγκεκριμένα το 37,2% των επιχειρήσεων αυτών έχουν ληξιπρόθεσμες οφειλές προς τον πρώην ΟΑΕΕ </w:t>
      </w:r>
      <w:r w:rsidR="005F6010" w:rsidRPr="00E36734">
        <w:rPr>
          <w:rFonts w:ascii="Times New Roman" w:eastAsia="Times New Roman" w:hAnsi="Times New Roman" w:cs="Times New Roman"/>
          <w:sz w:val="24"/>
          <w:szCs w:val="24"/>
          <w:lang w:eastAsia="el-GR"/>
        </w:rPr>
        <w:t xml:space="preserve">ενώ από τις επιχειρήσεις της κατηγορίας  που έχουν τραπεζικό δάνειο </w:t>
      </w:r>
      <w:r w:rsidR="00121769" w:rsidRPr="00E36734">
        <w:rPr>
          <w:rFonts w:ascii="Times New Roman" w:eastAsia="Times New Roman" w:hAnsi="Times New Roman" w:cs="Times New Roman"/>
          <w:sz w:val="24"/>
          <w:szCs w:val="24"/>
          <w:lang w:eastAsia="el-GR"/>
        </w:rPr>
        <w:t xml:space="preserve">το 45,2%  </w:t>
      </w:r>
      <w:r w:rsidR="005F6010" w:rsidRPr="00E36734">
        <w:rPr>
          <w:rFonts w:ascii="Times New Roman" w:eastAsia="Times New Roman" w:hAnsi="Times New Roman" w:cs="Times New Roman"/>
          <w:sz w:val="24"/>
          <w:szCs w:val="24"/>
          <w:lang w:eastAsia="el-GR"/>
        </w:rPr>
        <w:t>έχει ληξιπρόθεσμες οφειλές.</w:t>
      </w:r>
    </w:p>
    <w:p w14:paraId="251E5230" w14:textId="0EBB4215" w:rsidR="00AB1C80" w:rsidRPr="00E36734" w:rsidRDefault="00121769" w:rsidP="0021116B">
      <w:p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 xml:space="preserve">Επιπλέον, αν και μειωμένα, παραμένουν υψηλά τα ποσοστά ληξιπρόθεσμων οφειλών για όλες τις υπόλοιπες κατηγορίες. Συγκεκριμένα το 23,8% των επιχειρήσεων φαίνεται πως έχει ληξιπρόθεσμες </w:t>
      </w:r>
      <w:r w:rsidRPr="00E36734">
        <w:rPr>
          <w:rFonts w:ascii="Times New Roman" w:eastAsia="Times New Roman" w:hAnsi="Times New Roman" w:cs="Times New Roman"/>
          <w:sz w:val="24"/>
          <w:szCs w:val="24"/>
          <w:lang w:eastAsia="el-GR"/>
        </w:rPr>
        <w:lastRenderedPageBreak/>
        <w:t>οφειλές προς την εφορία, το  22,6% προς προμηθευτές, τους 20,5% σε λογαριασμούς ενέργειας και το 16,6% σε λοιπούς λογαριασμούς (πχ τηλέφωνο, ύδρευση)</w:t>
      </w:r>
      <w:r w:rsidR="005F6010" w:rsidRPr="00E36734">
        <w:rPr>
          <w:rFonts w:ascii="Times New Roman" w:eastAsia="Times New Roman" w:hAnsi="Times New Roman" w:cs="Times New Roman"/>
          <w:sz w:val="24"/>
          <w:szCs w:val="24"/>
          <w:lang w:eastAsia="el-GR"/>
        </w:rPr>
        <w:t>. Όσον αφορά τις επιχειρήσεις που έχουν αναστείλει τη λειτουργία τους με κρατική εντολή, το 33,5%</w:t>
      </w:r>
      <w:r w:rsidRPr="00E36734">
        <w:rPr>
          <w:rFonts w:ascii="Times New Roman" w:eastAsia="Times New Roman" w:hAnsi="Times New Roman" w:cs="Times New Roman"/>
          <w:sz w:val="24"/>
          <w:szCs w:val="24"/>
          <w:lang w:eastAsia="el-GR"/>
        </w:rPr>
        <w:t xml:space="preserve"> </w:t>
      </w:r>
      <w:r w:rsidR="005F6010" w:rsidRPr="00E36734">
        <w:rPr>
          <w:rFonts w:ascii="Times New Roman" w:eastAsia="Times New Roman" w:hAnsi="Times New Roman" w:cs="Times New Roman"/>
          <w:sz w:val="24"/>
          <w:szCs w:val="24"/>
          <w:lang w:eastAsia="el-GR"/>
        </w:rPr>
        <w:t xml:space="preserve">έχουν ληξιπρόθεσμες οφειλές προς την εφορία, το 34,6% προς προμηθευτές, το 29,3% σε λογαριασμούς ενέργειας και το 24,1% σε λοιπούς λογαριασμούς. </w:t>
      </w:r>
    </w:p>
    <w:p w14:paraId="40E2C698" w14:textId="482AB364" w:rsidR="002103D0" w:rsidRPr="00E36734" w:rsidRDefault="002103D0" w:rsidP="0021116B">
      <w:pPr>
        <w:spacing w:after="0" w:line="360" w:lineRule="auto"/>
        <w:jc w:val="both"/>
        <w:rPr>
          <w:rFonts w:ascii="Times New Roman" w:eastAsia="Times New Roman" w:hAnsi="Times New Roman" w:cs="Times New Roman"/>
          <w:sz w:val="24"/>
          <w:szCs w:val="24"/>
          <w:lang w:eastAsia="el-GR"/>
        </w:rPr>
      </w:pPr>
      <w:bookmarkStart w:id="21" w:name="_Hlk68599926"/>
      <w:r w:rsidRPr="00E36734">
        <w:rPr>
          <w:rFonts w:ascii="Times New Roman" w:eastAsia="Times New Roman" w:hAnsi="Times New Roman" w:cs="Times New Roman"/>
          <w:sz w:val="24"/>
          <w:szCs w:val="24"/>
          <w:lang w:eastAsia="el-GR"/>
        </w:rPr>
        <w:t xml:space="preserve">Γενικότερα, </w:t>
      </w:r>
      <w:bookmarkStart w:id="22" w:name="_Hlk68075697"/>
      <w:r w:rsidRPr="00E36734">
        <w:rPr>
          <w:rFonts w:ascii="Times New Roman" w:eastAsia="Times New Roman" w:hAnsi="Times New Roman" w:cs="Times New Roman"/>
          <w:sz w:val="24"/>
          <w:szCs w:val="24"/>
          <w:lang w:eastAsia="el-GR"/>
        </w:rPr>
        <w:t xml:space="preserve">σχεδόν 1 στις 2 επιχειρήσεις (46,4%) φαίνεται πως έχει τουλάχιστον 1 ληξιπρόθεσμη οφειλή, 1 στις </w:t>
      </w:r>
      <w:r w:rsidR="00B34346">
        <w:rPr>
          <w:rFonts w:ascii="Times New Roman" w:eastAsia="Times New Roman" w:hAnsi="Times New Roman" w:cs="Times New Roman"/>
          <w:sz w:val="24"/>
          <w:szCs w:val="24"/>
          <w:lang w:eastAsia="el-GR"/>
        </w:rPr>
        <w:t>5</w:t>
      </w:r>
      <w:r w:rsidRPr="00E36734">
        <w:rPr>
          <w:rFonts w:ascii="Times New Roman" w:eastAsia="Times New Roman" w:hAnsi="Times New Roman" w:cs="Times New Roman"/>
          <w:sz w:val="24"/>
          <w:szCs w:val="24"/>
          <w:lang w:eastAsia="el-GR"/>
        </w:rPr>
        <w:t xml:space="preserve"> επιχειρήσεις (21,6%) έχει ληξιπρόθεσμες οφειλές προς το Δημόσιο (εφορία και ασφαλιστικά ταμεία), ενώ επίσης 1 στις </w:t>
      </w:r>
      <w:r w:rsidR="00B34346">
        <w:rPr>
          <w:rFonts w:ascii="Times New Roman" w:eastAsia="Times New Roman" w:hAnsi="Times New Roman" w:cs="Times New Roman"/>
          <w:sz w:val="24"/>
          <w:szCs w:val="24"/>
          <w:lang w:eastAsia="el-GR"/>
        </w:rPr>
        <w:t>5</w:t>
      </w:r>
      <w:r w:rsidRPr="00E36734">
        <w:rPr>
          <w:rFonts w:ascii="Times New Roman" w:eastAsia="Times New Roman" w:hAnsi="Times New Roman" w:cs="Times New Roman"/>
          <w:sz w:val="24"/>
          <w:szCs w:val="24"/>
          <w:lang w:eastAsia="el-GR"/>
        </w:rPr>
        <w:t xml:space="preserve"> επιχειρήσεις (19,7%) έχει ληξιπρόθεσμες οφειλές στις μισές τουλάχιστον κατηγορίες υποχρεώσεων της έρευνας</w:t>
      </w:r>
      <w:bookmarkEnd w:id="21"/>
      <w:bookmarkEnd w:id="22"/>
      <w:r w:rsidRPr="00E36734">
        <w:rPr>
          <w:rFonts w:ascii="Times New Roman" w:eastAsia="Times New Roman" w:hAnsi="Times New Roman" w:cs="Times New Roman"/>
          <w:sz w:val="24"/>
          <w:szCs w:val="24"/>
          <w:lang w:eastAsia="el-GR"/>
        </w:rPr>
        <w:t xml:space="preserve">. Οι επιχειρήσεις αυτές που έχουν πολλαπλές οφειλές σε συνδυασμό με τους μειωμένους τζίρους και την έλλειψη ρευστότητας είναι εκείνες που φαίνεται πως αντιμετωπίζουν σοβαρά προβλήματα βιωσιμότητας.  </w:t>
      </w:r>
    </w:p>
    <w:p w14:paraId="2250C227" w14:textId="77777777" w:rsidR="002103D0" w:rsidRPr="00E36734" w:rsidRDefault="002103D0" w:rsidP="0021116B">
      <w:pPr>
        <w:spacing w:after="0" w:line="360" w:lineRule="auto"/>
        <w:jc w:val="both"/>
        <w:rPr>
          <w:rFonts w:ascii="Times New Roman" w:eastAsia="Times New Roman" w:hAnsi="Times New Roman" w:cs="Times New Roman"/>
          <w:sz w:val="24"/>
          <w:szCs w:val="24"/>
          <w:lang w:eastAsia="el-GR"/>
        </w:rPr>
      </w:pPr>
    </w:p>
    <w:p w14:paraId="780E278D" w14:textId="6F5422CB" w:rsidR="00E567EA" w:rsidRPr="00E36734" w:rsidRDefault="00982B33" w:rsidP="007E56A7">
      <w:pPr>
        <w:spacing w:after="0" w:line="360" w:lineRule="auto"/>
        <w:jc w:val="center"/>
        <w:rPr>
          <w:rFonts w:ascii="Times New Roman" w:eastAsia="Times New Roman" w:hAnsi="Times New Roman" w:cs="Times New Roman"/>
          <w:b/>
          <w:bCs/>
          <w:sz w:val="24"/>
          <w:szCs w:val="24"/>
          <w:lang w:eastAsia="el-GR"/>
        </w:rPr>
      </w:pPr>
      <w:r w:rsidRPr="00E36734">
        <w:rPr>
          <w:rFonts w:ascii="Times New Roman" w:eastAsia="Times New Roman" w:hAnsi="Times New Roman" w:cs="Times New Roman"/>
          <w:b/>
          <w:bCs/>
          <w:sz w:val="24"/>
          <w:szCs w:val="24"/>
          <w:lang w:eastAsia="el-GR"/>
        </w:rPr>
        <w:t>Γράφημα 14</w:t>
      </w:r>
    </w:p>
    <w:p w14:paraId="6B079576" w14:textId="45CC8498" w:rsidR="00E567EA" w:rsidRPr="00E36734" w:rsidRDefault="00E567EA" w:rsidP="00E567EA">
      <w:pPr>
        <w:spacing w:after="0" w:line="360" w:lineRule="auto"/>
        <w:jc w:val="center"/>
        <w:rPr>
          <w:rFonts w:ascii="Times New Roman" w:eastAsia="Times New Roman" w:hAnsi="Times New Roman" w:cs="Times New Roman"/>
          <w:b/>
          <w:bCs/>
          <w:sz w:val="24"/>
          <w:szCs w:val="24"/>
          <w:lang w:eastAsia="el-GR"/>
        </w:rPr>
      </w:pPr>
      <w:bookmarkStart w:id="23" w:name="_Hlk67939272"/>
      <w:r w:rsidRPr="00E36734">
        <w:rPr>
          <w:rFonts w:ascii="Times New Roman" w:eastAsia="Times New Roman" w:hAnsi="Times New Roman" w:cs="Times New Roman"/>
          <w:b/>
          <w:bCs/>
          <w:sz w:val="24"/>
          <w:szCs w:val="24"/>
          <w:lang w:eastAsia="el-GR"/>
        </w:rPr>
        <w:t xml:space="preserve">Επιχειρήσεις που έχουν καθυστερημένες οφειλές </w:t>
      </w:r>
    </w:p>
    <w:p w14:paraId="1D2F3AF0" w14:textId="445C2576" w:rsidR="00AB1C80" w:rsidRPr="00E36734" w:rsidRDefault="00E567EA" w:rsidP="00E567EA">
      <w:pPr>
        <w:spacing w:after="0" w:line="360" w:lineRule="auto"/>
        <w:jc w:val="center"/>
        <w:rPr>
          <w:rFonts w:ascii="Times New Roman" w:eastAsia="Times New Roman" w:hAnsi="Times New Roman" w:cs="Times New Roman"/>
          <w:b/>
          <w:bCs/>
          <w:sz w:val="24"/>
          <w:szCs w:val="24"/>
          <w:lang w:eastAsia="el-GR"/>
        </w:rPr>
      </w:pPr>
      <w:r w:rsidRPr="00E36734">
        <w:rPr>
          <w:rFonts w:ascii="Times New Roman" w:eastAsia="Times New Roman" w:hAnsi="Times New Roman" w:cs="Times New Roman"/>
          <w:b/>
          <w:bCs/>
          <w:sz w:val="24"/>
          <w:szCs w:val="24"/>
          <w:lang w:eastAsia="el-GR"/>
        </w:rPr>
        <w:t xml:space="preserve">ΣΥΓΚΡΙΤΙΚΟ ΓΡΑΦΗΜΑ </w:t>
      </w:r>
      <w:r w:rsidR="00DD7C9C" w:rsidRPr="00E36734">
        <w:rPr>
          <w:rFonts w:ascii="Times New Roman" w:eastAsia="Times New Roman" w:hAnsi="Times New Roman" w:cs="Times New Roman"/>
          <w:b/>
          <w:bCs/>
          <w:sz w:val="24"/>
          <w:szCs w:val="24"/>
          <w:lang w:eastAsia="el-GR"/>
        </w:rPr>
        <w:t>ΙΟΥΛΙΟΣ</w:t>
      </w:r>
      <w:r w:rsidRPr="00E36734">
        <w:rPr>
          <w:rFonts w:ascii="Times New Roman" w:eastAsia="Times New Roman" w:hAnsi="Times New Roman" w:cs="Times New Roman"/>
          <w:b/>
          <w:bCs/>
          <w:sz w:val="24"/>
          <w:szCs w:val="24"/>
          <w:lang w:eastAsia="el-GR"/>
        </w:rPr>
        <w:t xml:space="preserve"> 2020 –  ΦΕΒΡΟΥΑΡΙΟΣ 2021</w:t>
      </w:r>
    </w:p>
    <w:p w14:paraId="2DCC1EF6" w14:textId="7FB042D1" w:rsidR="00971CF2" w:rsidRPr="00E36734" w:rsidRDefault="00BA1D4B" w:rsidP="00E567EA">
      <w:pPr>
        <w:spacing w:after="0" w:line="360" w:lineRule="auto"/>
        <w:jc w:val="center"/>
        <w:rPr>
          <w:rFonts w:ascii="Times New Roman" w:eastAsia="Times New Roman" w:hAnsi="Times New Roman" w:cs="Times New Roman"/>
          <w:b/>
          <w:bCs/>
          <w:sz w:val="24"/>
          <w:szCs w:val="24"/>
          <w:lang w:eastAsia="el-GR"/>
        </w:rPr>
      </w:pPr>
      <w:r w:rsidRPr="00E36734">
        <w:rPr>
          <w:noProof/>
          <w:lang w:eastAsia="el-GR"/>
        </w:rPr>
        <mc:AlternateContent>
          <mc:Choice Requires="wps">
            <w:drawing>
              <wp:anchor distT="0" distB="0" distL="114300" distR="114300" simplePos="0" relativeHeight="251656192" behindDoc="0" locked="0" layoutInCell="1" allowOverlap="1" wp14:anchorId="5ECE61BE" wp14:editId="40BA256E">
                <wp:simplePos x="0" y="0"/>
                <wp:positionH relativeFrom="column">
                  <wp:posOffset>380365</wp:posOffset>
                </wp:positionH>
                <wp:positionV relativeFrom="paragraph">
                  <wp:posOffset>2667000</wp:posOffset>
                </wp:positionV>
                <wp:extent cx="4015740" cy="289560"/>
                <wp:effectExtent l="0" t="0" r="0" b="0"/>
                <wp:wrapNone/>
                <wp:docPr id="9" name="TextBox 8"/>
                <wp:cNvGraphicFramePr/>
                <a:graphic xmlns:a="http://schemas.openxmlformats.org/drawingml/2006/main">
                  <a:graphicData uri="http://schemas.microsoft.com/office/word/2010/wordprocessingShape">
                    <wps:wsp>
                      <wps:cNvSpPr txBox="1"/>
                      <wps:spPr>
                        <a:xfrm>
                          <a:off x="0" y="0"/>
                          <a:ext cx="4015740" cy="289560"/>
                        </a:xfrm>
                        <a:prstGeom prst="rect">
                          <a:avLst/>
                        </a:prstGeom>
                        <a:noFill/>
                      </wps:spPr>
                      <wps:txbx>
                        <w:txbxContent>
                          <w:p w14:paraId="07E0C355" w14:textId="77777777" w:rsidR="00C83512" w:rsidRPr="00246CED" w:rsidRDefault="00C83512" w:rsidP="00246CED">
                            <w:pPr>
                              <w:textAlignment w:val="baseline"/>
                              <w:rPr>
                                <w:rFonts w:ascii="Microsoft JhengHei UI" w:eastAsia="Microsoft JhengHei UI" w:hAnsi="Microsoft JhengHei UI" w:cs="Microsoft Sans Serif"/>
                                <w:b/>
                                <w:bCs/>
                                <w:i/>
                                <w:iCs/>
                                <w:color w:val="000000"/>
                                <w:kern w:val="24"/>
                                <w:sz w:val="14"/>
                                <w:szCs w:val="14"/>
                              </w:rPr>
                            </w:pPr>
                            <w:r w:rsidRPr="00246CED">
                              <w:rPr>
                                <w:rFonts w:ascii="Microsoft JhengHei UI" w:eastAsia="Microsoft JhengHei UI" w:hAnsi="Microsoft JhengHei UI" w:cs="Microsoft Sans Serif" w:hint="eastAsia"/>
                                <w:b/>
                                <w:bCs/>
                                <w:i/>
                                <w:iCs/>
                                <w:color w:val="000000"/>
                                <w:kern w:val="24"/>
                                <w:sz w:val="14"/>
                                <w:szCs w:val="14"/>
                              </w:rPr>
                              <w:t>* Βάση: όσοι είπαν ότι έχουν ενοίκιο, αμειβόμενο προσωπικό και δάνειο αντίστοιχα</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ECE61BE" id="TextBox 8" o:spid="_x0000_s1027" type="#_x0000_t202" style="position:absolute;left:0;text-align:left;margin-left:29.95pt;margin-top:210pt;width:316.2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" filled="f" stroked="f">
                <v:textbox>
                  <w:txbxContent>
                    <w:p w14:paraId="07E0C355" w14:textId="77777777" w:rsidR="00C83512" w:rsidRPr="00246CED" w:rsidRDefault="00C83512" w:rsidP="00246CED">
                      <w:pPr>
                        <w:textAlignment w:val="baseline"/>
                        <w:rPr>
                          <w:rFonts w:ascii="Microsoft JhengHei UI" w:eastAsia="Microsoft JhengHei UI" w:hAnsi="Microsoft JhengHei UI" w:cs="Microsoft Sans Serif"/>
                          <w:b/>
                          <w:bCs/>
                          <w:i/>
                          <w:iCs/>
                          <w:color w:val="000000"/>
                          <w:kern w:val="24"/>
                          <w:sz w:val="14"/>
                          <w:szCs w:val="14"/>
                        </w:rPr>
                      </w:pPr>
                      <w:r w:rsidRPr="00246CED">
                        <w:rPr>
                          <w:rFonts w:ascii="Microsoft JhengHei UI" w:eastAsia="Microsoft JhengHei UI" w:hAnsi="Microsoft JhengHei UI" w:cs="Microsoft Sans Serif" w:hint="eastAsia"/>
                          <w:b/>
                          <w:bCs/>
                          <w:i/>
                          <w:iCs/>
                          <w:color w:val="000000"/>
                          <w:kern w:val="24"/>
                          <w:sz w:val="14"/>
                          <w:szCs w:val="14"/>
                        </w:rPr>
                        <w:t>* Βάση: όσοι είπαν ότι έχουν ενοίκιο, αμειβόμενο προσωπικό και δάνειο αντίστοιχα</w:t>
                      </w:r>
                    </w:p>
                  </w:txbxContent>
                </v:textbox>
              </v:shape>
            </w:pict>
          </mc:Fallback>
        </mc:AlternateContent>
      </w:r>
      <w:r w:rsidR="00971CF2" w:rsidRPr="00E36734">
        <w:rPr>
          <w:rFonts w:ascii="Times New Roman" w:eastAsia="Times New Roman" w:hAnsi="Times New Roman" w:cs="Times New Roman"/>
          <w:b/>
          <w:bCs/>
          <w:noProof/>
          <w:sz w:val="16"/>
          <w:szCs w:val="16"/>
          <w:lang w:eastAsia="el-GR"/>
        </w:rPr>
        <w:drawing>
          <wp:inline distT="0" distB="0" distL="0" distR="0" wp14:anchorId="00649FF0" wp14:editId="280036A0">
            <wp:extent cx="6570980" cy="3055620"/>
            <wp:effectExtent l="0" t="0" r="1270" b="11430"/>
            <wp:docPr id="11" name="Γράφημα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bookmarkEnd w:id="23"/>
    <w:p w14:paraId="6B261B45" w14:textId="5B46A26C" w:rsidR="00993DDC" w:rsidRPr="00E36734" w:rsidRDefault="008B6EB3" w:rsidP="007E56A7">
      <w:p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Ως προς τις εκτιμήσεις των επιχειρήσεων</w:t>
      </w:r>
      <w:r w:rsidR="00702E6E" w:rsidRPr="00E36734">
        <w:rPr>
          <w:rFonts w:ascii="Times New Roman" w:eastAsia="Times New Roman" w:hAnsi="Times New Roman" w:cs="Times New Roman"/>
          <w:sz w:val="24"/>
          <w:szCs w:val="24"/>
          <w:lang w:eastAsia="el-GR"/>
        </w:rPr>
        <w:t xml:space="preserve"> (Γράφημα</w:t>
      </w:r>
      <w:r w:rsidR="002103D0" w:rsidRPr="00E36734">
        <w:rPr>
          <w:rFonts w:ascii="Times New Roman" w:eastAsia="Times New Roman" w:hAnsi="Times New Roman" w:cs="Times New Roman"/>
          <w:sz w:val="24"/>
          <w:szCs w:val="24"/>
          <w:lang w:eastAsia="el-GR"/>
        </w:rPr>
        <w:t xml:space="preserve"> </w:t>
      </w:r>
      <w:r w:rsidR="00982B33" w:rsidRPr="00E36734">
        <w:rPr>
          <w:rFonts w:ascii="Times New Roman" w:eastAsia="Times New Roman" w:hAnsi="Times New Roman" w:cs="Times New Roman"/>
          <w:sz w:val="24"/>
          <w:szCs w:val="24"/>
          <w:lang w:eastAsia="el-GR"/>
        </w:rPr>
        <w:t>15</w:t>
      </w:r>
      <w:r w:rsidR="00702E6E" w:rsidRPr="00E36734">
        <w:rPr>
          <w:rFonts w:ascii="Times New Roman" w:eastAsia="Times New Roman" w:hAnsi="Times New Roman" w:cs="Times New Roman"/>
          <w:sz w:val="24"/>
          <w:szCs w:val="24"/>
          <w:lang w:eastAsia="el-GR"/>
        </w:rPr>
        <w:t>)</w:t>
      </w:r>
      <w:r w:rsidRPr="00E36734">
        <w:rPr>
          <w:rFonts w:ascii="Times New Roman" w:eastAsia="Times New Roman" w:hAnsi="Times New Roman" w:cs="Times New Roman"/>
          <w:sz w:val="24"/>
          <w:szCs w:val="24"/>
          <w:lang w:eastAsia="el-GR"/>
        </w:rPr>
        <w:t xml:space="preserve"> για το επόμενο διάστημα η κατάσταση προδιαγράφεται </w:t>
      </w:r>
      <w:r w:rsidR="002103D0" w:rsidRPr="00E36734">
        <w:rPr>
          <w:rFonts w:ascii="Times New Roman" w:eastAsia="Times New Roman" w:hAnsi="Times New Roman" w:cs="Times New Roman"/>
          <w:sz w:val="24"/>
          <w:szCs w:val="24"/>
          <w:lang w:eastAsia="el-GR"/>
        </w:rPr>
        <w:t xml:space="preserve">ιδιαίτερα </w:t>
      </w:r>
      <w:r w:rsidRPr="00E36734">
        <w:rPr>
          <w:rFonts w:ascii="Times New Roman" w:eastAsia="Times New Roman" w:hAnsi="Times New Roman" w:cs="Times New Roman"/>
          <w:sz w:val="24"/>
          <w:szCs w:val="24"/>
          <w:lang w:eastAsia="el-GR"/>
        </w:rPr>
        <w:t>δυσοίωνη</w:t>
      </w:r>
      <w:r w:rsidR="002103D0" w:rsidRPr="00E36734">
        <w:rPr>
          <w:rFonts w:ascii="Times New Roman" w:eastAsia="Times New Roman" w:hAnsi="Times New Roman" w:cs="Times New Roman"/>
          <w:sz w:val="24"/>
          <w:szCs w:val="24"/>
          <w:lang w:eastAsia="el-GR"/>
        </w:rPr>
        <w:t xml:space="preserve">. Τα ποσοστά των επιχειρήσεων που εκτιμούν πως δεν θα μπορέσουν να ανταποκριθούν στις υποχρεώσεις το επόμενο διάστημα παρουσιάζουν σημαντική αύξηση σε όλες τις κατηγορίες υποχρεώσεων σε </w:t>
      </w:r>
      <w:r w:rsidR="00993DDC" w:rsidRPr="00E36734">
        <w:rPr>
          <w:rFonts w:ascii="Times New Roman" w:eastAsia="Times New Roman" w:hAnsi="Times New Roman" w:cs="Times New Roman"/>
          <w:sz w:val="24"/>
          <w:szCs w:val="24"/>
          <w:lang w:eastAsia="el-GR"/>
        </w:rPr>
        <w:t>σύγκριση</w:t>
      </w:r>
      <w:r w:rsidR="002103D0" w:rsidRPr="00E36734">
        <w:rPr>
          <w:rFonts w:ascii="Times New Roman" w:eastAsia="Times New Roman" w:hAnsi="Times New Roman" w:cs="Times New Roman"/>
          <w:sz w:val="24"/>
          <w:szCs w:val="24"/>
          <w:lang w:eastAsia="el-GR"/>
        </w:rPr>
        <w:t xml:space="preserve"> με την αντίστοιχη εξαμηνιαία έρευνα του Ιουλίου του 2020</w:t>
      </w:r>
      <w:r w:rsidR="00993DDC" w:rsidRPr="00E36734">
        <w:rPr>
          <w:rFonts w:ascii="Times New Roman" w:eastAsia="Times New Roman" w:hAnsi="Times New Roman" w:cs="Times New Roman"/>
          <w:sz w:val="24"/>
          <w:szCs w:val="24"/>
          <w:lang w:eastAsia="el-GR"/>
        </w:rPr>
        <w:t xml:space="preserve"> που κυμαίνεται από 6 μέχρι 20 ποσοστιαίες μονάδες</w:t>
      </w:r>
      <w:r w:rsidR="002103D0" w:rsidRPr="00E36734">
        <w:rPr>
          <w:rFonts w:ascii="Times New Roman" w:eastAsia="Times New Roman" w:hAnsi="Times New Roman" w:cs="Times New Roman"/>
          <w:sz w:val="24"/>
          <w:szCs w:val="24"/>
          <w:lang w:eastAsia="el-GR"/>
        </w:rPr>
        <w:t>.</w:t>
      </w:r>
      <w:r w:rsidRPr="00E36734">
        <w:rPr>
          <w:rFonts w:ascii="Times New Roman" w:eastAsia="Times New Roman" w:hAnsi="Times New Roman" w:cs="Times New Roman"/>
          <w:sz w:val="24"/>
          <w:szCs w:val="24"/>
          <w:lang w:eastAsia="el-GR"/>
        </w:rPr>
        <w:t xml:space="preserve"> </w:t>
      </w:r>
    </w:p>
    <w:p w14:paraId="310B5048" w14:textId="4C36B7AA" w:rsidR="00FE6286" w:rsidRPr="00E36734" w:rsidRDefault="00993DDC" w:rsidP="007E56A7">
      <w:p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 xml:space="preserve">Συγκεκριμένα, περίπου </w:t>
      </w:r>
      <w:bookmarkStart w:id="24" w:name="_Hlk68075567"/>
      <w:r w:rsidRPr="00E36734">
        <w:rPr>
          <w:rFonts w:ascii="Times New Roman" w:eastAsia="Times New Roman" w:hAnsi="Times New Roman" w:cs="Times New Roman"/>
          <w:sz w:val="24"/>
          <w:szCs w:val="24"/>
          <w:lang w:eastAsia="el-GR"/>
        </w:rPr>
        <w:t xml:space="preserve">1 στις 3 επιχειρήσεις </w:t>
      </w:r>
      <w:r w:rsidR="00FE6286" w:rsidRPr="00E36734">
        <w:rPr>
          <w:rFonts w:ascii="Times New Roman" w:eastAsia="Times New Roman" w:hAnsi="Times New Roman" w:cs="Times New Roman"/>
          <w:sz w:val="24"/>
          <w:szCs w:val="24"/>
          <w:lang w:eastAsia="el-GR"/>
        </w:rPr>
        <w:t>δήλωσε πως δεν θα μπορέσει να ανταποκριθεί:</w:t>
      </w:r>
    </w:p>
    <w:p w14:paraId="346AC049" w14:textId="485AF065" w:rsidR="00993DDC" w:rsidRPr="00E36734" w:rsidRDefault="00993DDC" w:rsidP="007E56A7">
      <w:pPr>
        <w:pStyle w:val="a5"/>
        <w:numPr>
          <w:ilvl w:val="0"/>
          <w:numId w:val="2"/>
        </w:numPr>
        <w:spacing w:after="0" w:line="360" w:lineRule="auto"/>
        <w:rPr>
          <w:rFonts w:ascii="Times New Roman" w:eastAsia="Times New Roman" w:hAnsi="Times New Roman" w:cs="Times New Roman"/>
          <w:sz w:val="24"/>
          <w:szCs w:val="24"/>
          <w:lang w:eastAsia="el-GR"/>
        </w:rPr>
      </w:pPr>
      <w:bookmarkStart w:id="25" w:name="_Hlk67988038"/>
      <w:r w:rsidRPr="00E36734">
        <w:rPr>
          <w:rFonts w:ascii="Times New Roman" w:eastAsia="Times New Roman" w:hAnsi="Times New Roman" w:cs="Times New Roman"/>
          <w:sz w:val="24"/>
          <w:szCs w:val="24"/>
          <w:lang w:eastAsia="el-GR"/>
        </w:rPr>
        <w:t>στις ασφαλιστικές της υποχρεώσεις (31,3% προς τον πρώην ΟΑΕΕ και 24,2% προς το ΙΚΑ)</w:t>
      </w:r>
    </w:p>
    <w:bookmarkEnd w:id="25"/>
    <w:p w14:paraId="506C80C2" w14:textId="0804F407" w:rsidR="00993DDC" w:rsidRPr="00E36734" w:rsidRDefault="00993DDC" w:rsidP="007E56A7">
      <w:pPr>
        <w:pStyle w:val="a5"/>
        <w:numPr>
          <w:ilvl w:val="0"/>
          <w:numId w:val="2"/>
        </w:numPr>
        <w:spacing w:after="0" w:line="360" w:lineRule="auto"/>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lastRenderedPageBreak/>
        <w:t>στις φορολογικές της υποχρεώσεις (30,1%)</w:t>
      </w:r>
    </w:p>
    <w:p w14:paraId="47FC3D53" w14:textId="7E02CDA1" w:rsidR="00993DDC" w:rsidRPr="00E36734" w:rsidRDefault="00993DDC" w:rsidP="007E56A7">
      <w:pPr>
        <w:pStyle w:val="a5"/>
        <w:numPr>
          <w:ilvl w:val="0"/>
          <w:numId w:val="2"/>
        </w:num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στις υποχρεώσεις ενοικίου (35,2%)</w:t>
      </w:r>
    </w:p>
    <w:p w14:paraId="4C9796B1" w14:textId="3A9BAAD8" w:rsidR="00993DDC" w:rsidRPr="00E36734" w:rsidRDefault="00993DDC" w:rsidP="007E56A7">
      <w:pPr>
        <w:spacing w:after="0" w:line="360" w:lineRule="auto"/>
        <w:jc w:val="both"/>
        <w:rPr>
          <w:rFonts w:ascii="Times New Roman" w:eastAsia="Times New Roman" w:hAnsi="Times New Roman" w:cs="Times New Roman"/>
          <w:sz w:val="24"/>
          <w:szCs w:val="24"/>
          <w:lang w:eastAsia="el-GR"/>
        </w:rPr>
      </w:pPr>
      <w:bookmarkStart w:id="26" w:name="_Hlk68075610"/>
      <w:bookmarkEnd w:id="24"/>
      <w:r w:rsidRPr="00E36734">
        <w:rPr>
          <w:rFonts w:ascii="Times New Roman" w:eastAsia="Times New Roman" w:hAnsi="Times New Roman" w:cs="Times New Roman"/>
          <w:sz w:val="24"/>
          <w:szCs w:val="24"/>
          <w:lang w:eastAsia="el-GR"/>
        </w:rPr>
        <w:t>Περίπου 1 στις 4 επιχειρήσεις δήλωσε πως δεν θα μπορέσει να ανταποκριθεί:</w:t>
      </w:r>
    </w:p>
    <w:p w14:paraId="51BC0E0F" w14:textId="2873EEE4" w:rsidR="00993DDC" w:rsidRPr="00E36734" w:rsidRDefault="00993DDC" w:rsidP="007E56A7">
      <w:pPr>
        <w:pStyle w:val="a5"/>
        <w:numPr>
          <w:ilvl w:val="0"/>
          <w:numId w:val="2"/>
        </w:numPr>
        <w:spacing w:after="0" w:line="360" w:lineRule="auto"/>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στις υποχρεώσεις προς προμηθευτές (26,6%)</w:t>
      </w:r>
    </w:p>
    <w:p w14:paraId="4F1DAF25" w14:textId="554B82EC" w:rsidR="00993DDC" w:rsidRPr="00E36734" w:rsidRDefault="00993DDC" w:rsidP="007E56A7">
      <w:pPr>
        <w:pStyle w:val="a5"/>
        <w:numPr>
          <w:ilvl w:val="0"/>
          <w:numId w:val="2"/>
        </w:numPr>
        <w:spacing w:after="0" w:line="360" w:lineRule="auto"/>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στις υποχρεώσεις για λογαριασμούς ενέργειας (26,3%) και λοιπούς λογαριασμούς (25,1%)</w:t>
      </w:r>
    </w:p>
    <w:p w14:paraId="62DD90D1" w14:textId="4D9EC399" w:rsidR="00993DDC" w:rsidRPr="00E36734" w:rsidRDefault="00993DDC" w:rsidP="007E56A7">
      <w:p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Σχεδόν 1 στις 2 (44,6%) από τις επιχειρήσεις που έχουν τραπεζικό δάνειο δήλωσε πως δεν θα μπορέσει να ανταποκριθεί στις υποχρεώσεις του το επόμενο διάστημα.</w:t>
      </w:r>
    </w:p>
    <w:bookmarkEnd w:id="26"/>
    <w:p w14:paraId="5EC2A9F5" w14:textId="499ED85C" w:rsidR="00993DDC" w:rsidRPr="00E36734" w:rsidRDefault="00993DDC" w:rsidP="007E56A7">
      <w:p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 xml:space="preserve">Όσον αφορά τις επιχειρήσεις που έχουν αναστείλει τη λειτουργία τους με κρατική εντολή οι προοπτικές </w:t>
      </w:r>
      <w:r w:rsidR="00697011" w:rsidRPr="00E36734">
        <w:rPr>
          <w:rFonts w:ascii="Times New Roman" w:eastAsia="Times New Roman" w:hAnsi="Times New Roman" w:cs="Times New Roman"/>
          <w:sz w:val="24"/>
          <w:szCs w:val="24"/>
          <w:lang w:eastAsia="el-GR"/>
        </w:rPr>
        <w:t>φαίνονται</w:t>
      </w:r>
      <w:r w:rsidRPr="00E36734">
        <w:rPr>
          <w:rFonts w:ascii="Times New Roman" w:eastAsia="Times New Roman" w:hAnsi="Times New Roman" w:cs="Times New Roman"/>
          <w:sz w:val="24"/>
          <w:szCs w:val="24"/>
          <w:lang w:eastAsia="el-GR"/>
        </w:rPr>
        <w:t xml:space="preserve"> περισσότερο </w:t>
      </w:r>
      <w:r w:rsidR="00697011" w:rsidRPr="00E36734">
        <w:rPr>
          <w:rFonts w:ascii="Times New Roman" w:eastAsia="Times New Roman" w:hAnsi="Times New Roman" w:cs="Times New Roman"/>
          <w:sz w:val="24"/>
          <w:szCs w:val="24"/>
          <w:lang w:eastAsia="el-GR"/>
        </w:rPr>
        <w:t xml:space="preserve">δυσοίωνες. </w:t>
      </w:r>
    </w:p>
    <w:p w14:paraId="6DDF0F58" w14:textId="5E10B2E8" w:rsidR="00697011" w:rsidRPr="00E36734" w:rsidRDefault="00697011" w:rsidP="007E56A7">
      <w:p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Συγκεκριμένα περίπου 1 στις 2 από τις επιχειρήσεις που έχουν αναστείλει τη λειτουργία τους με κρατική εντολή δηλώνει πως δεν θα μπορέσει να ανταποκριθεί</w:t>
      </w:r>
      <w:r w:rsidRPr="00E36734">
        <w:t xml:space="preserve"> </w:t>
      </w:r>
      <w:r w:rsidRPr="00E36734">
        <w:rPr>
          <w:rFonts w:ascii="Times New Roman" w:eastAsia="Times New Roman" w:hAnsi="Times New Roman" w:cs="Times New Roman"/>
          <w:sz w:val="24"/>
          <w:szCs w:val="24"/>
          <w:lang w:eastAsia="el-GR"/>
        </w:rPr>
        <w:t xml:space="preserve"> στις υποχρεώσεις ενοικίου (49,6%).</w:t>
      </w:r>
    </w:p>
    <w:p w14:paraId="0EEB94A2" w14:textId="46C068BE" w:rsidR="00697011" w:rsidRPr="00E36734" w:rsidRDefault="00697011" w:rsidP="007E56A7">
      <w:p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 xml:space="preserve">Περισσότερες από </w:t>
      </w:r>
      <w:r w:rsidR="00730A63" w:rsidRPr="00E36734">
        <w:rPr>
          <w:rFonts w:ascii="Times New Roman" w:eastAsia="Times New Roman" w:hAnsi="Times New Roman" w:cs="Times New Roman"/>
          <w:sz w:val="24"/>
          <w:szCs w:val="24"/>
          <w:lang w:eastAsia="el-GR"/>
        </w:rPr>
        <w:t>2</w:t>
      </w:r>
      <w:r w:rsidRPr="00E36734">
        <w:rPr>
          <w:rFonts w:ascii="Times New Roman" w:eastAsia="Times New Roman" w:hAnsi="Times New Roman" w:cs="Times New Roman"/>
          <w:sz w:val="24"/>
          <w:szCs w:val="24"/>
          <w:lang w:eastAsia="el-GR"/>
        </w:rPr>
        <w:t xml:space="preserve"> στις </w:t>
      </w:r>
      <w:r w:rsidR="00730A63" w:rsidRPr="00E36734">
        <w:rPr>
          <w:rFonts w:ascii="Times New Roman" w:eastAsia="Times New Roman" w:hAnsi="Times New Roman" w:cs="Times New Roman"/>
          <w:sz w:val="24"/>
          <w:szCs w:val="24"/>
          <w:lang w:eastAsia="el-GR"/>
        </w:rPr>
        <w:t>5</w:t>
      </w:r>
      <w:r w:rsidRPr="00E36734">
        <w:rPr>
          <w:rFonts w:ascii="Times New Roman" w:eastAsia="Times New Roman" w:hAnsi="Times New Roman" w:cs="Times New Roman"/>
          <w:sz w:val="24"/>
          <w:szCs w:val="24"/>
          <w:lang w:eastAsia="el-GR"/>
        </w:rPr>
        <w:t xml:space="preserve"> </w:t>
      </w:r>
      <w:r w:rsidR="00730A63" w:rsidRPr="00E36734">
        <w:rPr>
          <w:rFonts w:ascii="Times New Roman" w:eastAsia="Times New Roman" w:hAnsi="Times New Roman" w:cs="Times New Roman"/>
          <w:sz w:val="24"/>
          <w:szCs w:val="24"/>
          <w:lang w:eastAsia="el-GR"/>
        </w:rPr>
        <w:t>επιχειρήσεις σε αναστολή λειτουργίας δηλώνουν πως δεν θα μπορέσουν να ανταποκριθούν:</w:t>
      </w:r>
    </w:p>
    <w:p w14:paraId="71D4C0A0" w14:textId="2C859E50" w:rsidR="00730A63" w:rsidRPr="00E36734" w:rsidRDefault="00730A63" w:rsidP="007E56A7">
      <w:pPr>
        <w:pStyle w:val="a5"/>
        <w:numPr>
          <w:ilvl w:val="0"/>
          <w:numId w:val="13"/>
        </w:num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στις ασφαλιστικές της υποχρεώσεις (42,4% προς τον πρώην ΟΑΕΕ και 31,7% προς το ΙΚΑ)</w:t>
      </w:r>
    </w:p>
    <w:p w14:paraId="0178682F" w14:textId="28EB39F6" w:rsidR="00730A63" w:rsidRPr="00E36734" w:rsidRDefault="00730A63" w:rsidP="007E56A7">
      <w:pPr>
        <w:pStyle w:val="a5"/>
        <w:numPr>
          <w:ilvl w:val="0"/>
          <w:numId w:val="13"/>
        </w:num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στις φορολογικές της υποχρεώσεις (42,4%)</w:t>
      </w:r>
    </w:p>
    <w:p w14:paraId="41AC5A7A" w14:textId="64684352" w:rsidR="00697011" w:rsidRPr="00E36734" w:rsidRDefault="00697011" w:rsidP="007E56A7">
      <w:p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 xml:space="preserve">Περίπου 1 στις 3 δηλώνει πως δεν θα μπορέσει να ανταποκριθεί : </w:t>
      </w:r>
    </w:p>
    <w:p w14:paraId="0529D8F3" w14:textId="575B4B65" w:rsidR="00697011" w:rsidRPr="00E36734" w:rsidRDefault="00697011" w:rsidP="007E56A7">
      <w:pPr>
        <w:pStyle w:val="a5"/>
        <w:numPr>
          <w:ilvl w:val="0"/>
          <w:numId w:val="13"/>
        </w:numPr>
        <w:spacing w:after="0" w:line="360" w:lineRule="auto"/>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στις υποχρεώσεις προς προμηθευτές (36,6%)</w:t>
      </w:r>
    </w:p>
    <w:p w14:paraId="2D907930" w14:textId="06A864A6" w:rsidR="00697011" w:rsidRPr="00E36734" w:rsidRDefault="00697011" w:rsidP="007E56A7">
      <w:pPr>
        <w:pStyle w:val="a5"/>
        <w:numPr>
          <w:ilvl w:val="0"/>
          <w:numId w:val="13"/>
        </w:num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στις υποχρεώσεις για λογαριασμούς ενέργειας (35,6%) και λοιπούς λογαριασμούς (35,1%)</w:t>
      </w:r>
    </w:p>
    <w:p w14:paraId="3D529F48" w14:textId="4A1A4702" w:rsidR="00993DDC" w:rsidRPr="00E36734" w:rsidRDefault="00697011" w:rsidP="00993DDC">
      <w:p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Περισσότερες από 1 στις 2 (54,8%) από τις επιχειρήσεις που έχουν αναστείλει τη λειτουργία τους με κρατική εντολή και έχουν τραπεζικό δάνειο δήλωσε πως δεν θα μπορέσει να ανταποκριθεί στις υποχρεώσεις του το επόμενο διάστημα.</w:t>
      </w:r>
    </w:p>
    <w:p w14:paraId="660E076C" w14:textId="3725D536" w:rsidR="00C9318F" w:rsidRPr="00E36734" w:rsidRDefault="00982B33" w:rsidP="007E56A7">
      <w:pPr>
        <w:spacing w:after="0" w:line="360" w:lineRule="auto"/>
        <w:jc w:val="center"/>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sz w:val="24"/>
          <w:szCs w:val="24"/>
          <w:lang w:eastAsia="el-GR"/>
        </w:rPr>
        <w:t>Γράφημα 15</w:t>
      </w:r>
    </w:p>
    <w:p w14:paraId="7A5FDF0E" w14:textId="682208D9" w:rsidR="00C703E3" w:rsidRPr="00E36734" w:rsidRDefault="00BA1D4B" w:rsidP="002103D0">
      <w:pPr>
        <w:spacing w:after="0" w:line="360" w:lineRule="auto"/>
        <w:jc w:val="center"/>
        <w:rPr>
          <w:rFonts w:ascii="Times New Roman" w:eastAsia="Times New Roman" w:hAnsi="Times New Roman" w:cs="Times New Roman"/>
          <w:b/>
          <w:bCs/>
          <w:sz w:val="24"/>
          <w:szCs w:val="24"/>
          <w:lang w:eastAsia="el-GR"/>
        </w:rPr>
      </w:pPr>
      <w:r w:rsidRPr="00E36734">
        <w:rPr>
          <w:rFonts w:ascii="Times New Roman" w:eastAsia="Times New Roman" w:hAnsi="Times New Roman" w:cs="Times New Roman"/>
          <w:b/>
          <w:bCs/>
          <w:sz w:val="24"/>
          <w:szCs w:val="24"/>
          <w:lang w:eastAsia="el-GR"/>
        </w:rPr>
        <w:t xml:space="preserve">Επιχειρήσεις που εκτιμούν πως </w:t>
      </w:r>
      <w:r w:rsidRPr="00E36734">
        <w:rPr>
          <w:rFonts w:ascii="Times New Roman" w:eastAsia="Times New Roman" w:hAnsi="Times New Roman" w:cs="Times New Roman"/>
          <w:b/>
          <w:bCs/>
          <w:sz w:val="24"/>
          <w:szCs w:val="24"/>
          <w:u w:val="single"/>
          <w:lang w:eastAsia="el-GR"/>
        </w:rPr>
        <w:t>δεν</w:t>
      </w:r>
      <w:r w:rsidRPr="00E36734">
        <w:rPr>
          <w:rFonts w:ascii="Times New Roman" w:eastAsia="Times New Roman" w:hAnsi="Times New Roman" w:cs="Times New Roman"/>
          <w:b/>
          <w:bCs/>
          <w:sz w:val="24"/>
          <w:szCs w:val="24"/>
          <w:lang w:eastAsia="el-GR"/>
        </w:rPr>
        <w:t xml:space="preserve"> θα μπορέσουν να ανταποκριθούν στις υποχρεώσεις </w:t>
      </w:r>
      <w:r w:rsidR="00C703E3" w:rsidRPr="00E36734">
        <w:rPr>
          <w:rFonts w:ascii="Times New Roman" w:eastAsia="Times New Roman" w:hAnsi="Times New Roman" w:cs="Times New Roman"/>
          <w:b/>
          <w:bCs/>
          <w:sz w:val="24"/>
          <w:szCs w:val="24"/>
          <w:lang w:eastAsia="el-GR"/>
        </w:rPr>
        <w:t>τους</w:t>
      </w:r>
    </w:p>
    <w:p w14:paraId="6FD23DB4" w14:textId="58CC075D" w:rsidR="00BA1D4B" w:rsidRPr="00E36734" w:rsidRDefault="00BA1D4B" w:rsidP="00BA1D4B">
      <w:pPr>
        <w:spacing w:after="0" w:line="360" w:lineRule="auto"/>
        <w:jc w:val="center"/>
        <w:rPr>
          <w:rFonts w:ascii="Times New Roman" w:eastAsia="Times New Roman" w:hAnsi="Times New Roman" w:cs="Times New Roman"/>
          <w:b/>
          <w:bCs/>
          <w:sz w:val="24"/>
          <w:szCs w:val="24"/>
          <w:lang w:eastAsia="el-GR"/>
        </w:rPr>
      </w:pPr>
      <w:r w:rsidRPr="00E36734">
        <w:rPr>
          <w:rFonts w:ascii="Times New Roman" w:eastAsia="Times New Roman" w:hAnsi="Times New Roman" w:cs="Times New Roman"/>
          <w:b/>
          <w:bCs/>
          <w:sz w:val="24"/>
          <w:szCs w:val="24"/>
          <w:lang w:eastAsia="el-GR"/>
        </w:rPr>
        <w:t xml:space="preserve">ΣΥΓΚΡΙΤΙΚΟ ΓΡΑΦΗΜΑ </w:t>
      </w:r>
      <w:r w:rsidR="0024372F" w:rsidRPr="00E36734">
        <w:rPr>
          <w:rFonts w:ascii="Times New Roman" w:eastAsia="Times New Roman" w:hAnsi="Times New Roman" w:cs="Times New Roman"/>
          <w:b/>
          <w:bCs/>
          <w:sz w:val="24"/>
          <w:szCs w:val="24"/>
          <w:lang w:eastAsia="el-GR"/>
        </w:rPr>
        <w:t>ΙΟΥΛΙΟΣ</w:t>
      </w:r>
      <w:r w:rsidRPr="00E36734">
        <w:rPr>
          <w:rFonts w:ascii="Times New Roman" w:eastAsia="Times New Roman" w:hAnsi="Times New Roman" w:cs="Times New Roman"/>
          <w:b/>
          <w:bCs/>
          <w:sz w:val="24"/>
          <w:szCs w:val="24"/>
          <w:lang w:eastAsia="el-GR"/>
        </w:rPr>
        <w:t xml:space="preserve"> 2020 –  ΦΕΒΡΟΥΑΡΙΟΣ 2021</w:t>
      </w:r>
    </w:p>
    <w:p w14:paraId="6F96176D" w14:textId="77777777" w:rsidR="00BA1D4B" w:rsidRPr="00E36734" w:rsidRDefault="00BA1D4B" w:rsidP="00BA1D4B">
      <w:pPr>
        <w:spacing w:after="0" w:line="360" w:lineRule="auto"/>
        <w:jc w:val="center"/>
        <w:rPr>
          <w:rFonts w:ascii="Times New Roman" w:eastAsia="Times New Roman" w:hAnsi="Times New Roman" w:cs="Times New Roman"/>
          <w:b/>
          <w:bCs/>
          <w:sz w:val="24"/>
          <w:szCs w:val="24"/>
          <w:lang w:eastAsia="el-GR"/>
        </w:rPr>
      </w:pPr>
      <w:r w:rsidRPr="00E36734">
        <w:rPr>
          <w:noProof/>
          <w:lang w:eastAsia="el-GR"/>
        </w:rPr>
        <mc:AlternateContent>
          <mc:Choice Requires="wps">
            <w:drawing>
              <wp:anchor distT="0" distB="0" distL="114300" distR="114300" simplePos="0" relativeHeight="251659264" behindDoc="0" locked="0" layoutInCell="1" allowOverlap="1" wp14:anchorId="638FAE15" wp14:editId="76F037BF">
                <wp:simplePos x="0" y="0"/>
                <wp:positionH relativeFrom="column">
                  <wp:posOffset>189865</wp:posOffset>
                </wp:positionH>
                <wp:positionV relativeFrom="paragraph">
                  <wp:posOffset>2186940</wp:posOffset>
                </wp:positionV>
                <wp:extent cx="4015740" cy="289560"/>
                <wp:effectExtent l="0" t="0" r="0" b="0"/>
                <wp:wrapNone/>
                <wp:docPr id="10" name="TextBox 8"/>
                <wp:cNvGraphicFramePr/>
                <a:graphic xmlns:a="http://schemas.openxmlformats.org/drawingml/2006/main">
                  <a:graphicData uri="http://schemas.microsoft.com/office/word/2010/wordprocessingShape">
                    <wps:wsp>
                      <wps:cNvSpPr txBox="1"/>
                      <wps:spPr>
                        <a:xfrm>
                          <a:off x="0" y="0"/>
                          <a:ext cx="4015740" cy="289560"/>
                        </a:xfrm>
                        <a:prstGeom prst="rect">
                          <a:avLst/>
                        </a:prstGeom>
                        <a:noFill/>
                      </wps:spPr>
                      <wps:txbx>
                        <w:txbxContent>
                          <w:p w14:paraId="4AE15E1C" w14:textId="77777777" w:rsidR="00C83512" w:rsidRPr="00246CED" w:rsidRDefault="00C83512" w:rsidP="00BA1D4B">
                            <w:pPr>
                              <w:textAlignment w:val="baseline"/>
                              <w:rPr>
                                <w:rFonts w:ascii="Microsoft JhengHei UI" w:eastAsia="Microsoft JhengHei UI" w:hAnsi="Microsoft JhengHei UI" w:cs="Microsoft Sans Serif"/>
                                <w:b/>
                                <w:bCs/>
                                <w:i/>
                                <w:iCs/>
                                <w:color w:val="000000"/>
                                <w:kern w:val="24"/>
                                <w:sz w:val="14"/>
                                <w:szCs w:val="14"/>
                              </w:rPr>
                            </w:pPr>
                            <w:r w:rsidRPr="00246CED">
                              <w:rPr>
                                <w:rFonts w:ascii="Microsoft JhengHei UI" w:eastAsia="Microsoft JhengHei UI" w:hAnsi="Microsoft JhengHei UI" w:cs="Microsoft Sans Serif" w:hint="eastAsia"/>
                                <w:b/>
                                <w:bCs/>
                                <w:i/>
                                <w:iCs/>
                                <w:color w:val="000000"/>
                                <w:kern w:val="24"/>
                                <w:sz w:val="14"/>
                                <w:szCs w:val="14"/>
                              </w:rPr>
                              <w:t>* Βάση: όσοι είπαν ότι έχουν ενοίκιο, αμειβόμενο προσωπικό και δάνειο αντίστοιχα</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38FAE15" id="_x0000_s1028" type="#_x0000_t202" style="position:absolute;left:0;text-align:left;margin-left:14.95pt;margin-top:172.2pt;width:316.2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" filled="f" stroked="f">
                <v:textbox>
                  <w:txbxContent>
                    <w:p w14:paraId="4AE15E1C" w14:textId="77777777" w:rsidR="00C83512" w:rsidRPr="00246CED" w:rsidRDefault="00C83512" w:rsidP="00BA1D4B">
                      <w:pPr>
                        <w:textAlignment w:val="baseline"/>
                        <w:rPr>
                          <w:rFonts w:ascii="Microsoft JhengHei UI" w:eastAsia="Microsoft JhengHei UI" w:hAnsi="Microsoft JhengHei UI" w:cs="Microsoft Sans Serif"/>
                          <w:b/>
                          <w:bCs/>
                          <w:i/>
                          <w:iCs/>
                          <w:color w:val="000000"/>
                          <w:kern w:val="24"/>
                          <w:sz w:val="14"/>
                          <w:szCs w:val="14"/>
                        </w:rPr>
                      </w:pPr>
                      <w:r w:rsidRPr="00246CED">
                        <w:rPr>
                          <w:rFonts w:ascii="Microsoft JhengHei UI" w:eastAsia="Microsoft JhengHei UI" w:hAnsi="Microsoft JhengHei UI" w:cs="Microsoft Sans Serif" w:hint="eastAsia"/>
                          <w:b/>
                          <w:bCs/>
                          <w:i/>
                          <w:iCs/>
                          <w:color w:val="000000"/>
                          <w:kern w:val="24"/>
                          <w:sz w:val="14"/>
                          <w:szCs w:val="14"/>
                        </w:rPr>
                        <w:t>* Βάση: όσοι είπαν ότι έχουν ενοίκιο, αμειβόμενο προσωπικό και δάνειο αντίστοιχα</w:t>
                      </w:r>
                    </w:p>
                  </w:txbxContent>
                </v:textbox>
              </v:shape>
            </w:pict>
          </mc:Fallback>
        </mc:AlternateContent>
      </w:r>
      <w:r w:rsidRPr="00E36734">
        <w:rPr>
          <w:rFonts w:ascii="Times New Roman" w:eastAsia="Times New Roman" w:hAnsi="Times New Roman" w:cs="Times New Roman"/>
          <w:b/>
          <w:bCs/>
          <w:noProof/>
          <w:sz w:val="16"/>
          <w:szCs w:val="16"/>
          <w:lang w:eastAsia="el-GR"/>
        </w:rPr>
        <w:drawing>
          <wp:inline distT="0" distB="0" distL="0" distR="0" wp14:anchorId="6361137E" wp14:editId="036DA34D">
            <wp:extent cx="6570980" cy="2392680"/>
            <wp:effectExtent l="0" t="0" r="1270" b="7620"/>
            <wp:docPr id="14" name="Γράφημα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DFA713F" w14:textId="62279CB2" w:rsidR="000A34B1" w:rsidRPr="00E36734" w:rsidRDefault="000A34B1" w:rsidP="00761263">
      <w:pPr>
        <w:spacing w:after="0" w:line="360" w:lineRule="auto"/>
        <w:jc w:val="both"/>
        <w:rPr>
          <w:rFonts w:ascii="Times New Roman" w:eastAsia="Times New Roman" w:hAnsi="Times New Roman" w:cs="Times New Roman"/>
          <w:b/>
          <w:sz w:val="24"/>
          <w:szCs w:val="24"/>
          <w:u w:val="single"/>
          <w:lang w:eastAsia="el-GR"/>
        </w:rPr>
      </w:pPr>
      <w:r w:rsidRPr="00E36734">
        <w:rPr>
          <w:rFonts w:ascii="Times New Roman" w:eastAsia="Times New Roman" w:hAnsi="Times New Roman" w:cs="Times New Roman"/>
          <w:b/>
          <w:sz w:val="24"/>
          <w:szCs w:val="24"/>
          <w:u w:val="single"/>
          <w:lang w:eastAsia="el-GR"/>
        </w:rPr>
        <w:lastRenderedPageBreak/>
        <w:t>Βιωσιμότητα επιχειρήσεων</w:t>
      </w:r>
    </w:p>
    <w:p w14:paraId="4BD74811" w14:textId="6AF2A84A" w:rsidR="008B6EB3" w:rsidRPr="00E36734" w:rsidRDefault="00A3079C" w:rsidP="00761263">
      <w:p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Η επιδείνωση που η πλειοψηφία των επιχειρήσεων παρουσιάζει στην οικονομική του κατάσταση, ιδίως στην σοβαρή μείωση τόσο του κύκλου εργασιών όσο και της ρευστότητας</w:t>
      </w:r>
      <w:r w:rsidR="007E56A7" w:rsidRPr="00E36734">
        <w:rPr>
          <w:rFonts w:ascii="Times New Roman" w:eastAsia="Times New Roman" w:hAnsi="Times New Roman" w:cs="Times New Roman"/>
          <w:sz w:val="24"/>
          <w:szCs w:val="24"/>
          <w:lang w:eastAsia="el-GR"/>
        </w:rPr>
        <w:t>,</w:t>
      </w:r>
      <w:r w:rsidRPr="00E36734">
        <w:rPr>
          <w:rFonts w:ascii="Times New Roman" w:eastAsia="Times New Roman" w:hAnsi="Times New Roman" w:cs="Times New Roman"/>
          <w:sz w:val="24"/>
          <w:szCs w:val="24"/>
          <w:lang w:eastAsia="el-GR"/>
        </w:rPr>
        <w:t xml:space="preserve"> που φαίνεται πως έχει οδηγήσει ένα μεγάλο ποσοστό σε υπερχρέωση, αποτυπώνεται και στα ευρήματα για την βιωσιμότητα των μικρών και πολύ μικρών επιχειρήσεων. Όπως φαίνεται στο Γράφημα</w:t>
      </w:r>
      <w:r w:rsidR="00B63BE3" w:rsidRPr="00E36734">
        <w:rPr>
          <w:rFonts w:ascii="Times New Roman" w:eastAsia="Times New Roman" w:hAnsi="Times New Roman" w:cs="Times New Roman"/>
          <w:sz w:val="24"/>
          <w:szCs w:val="24"/>
          <w:lang w:eastAsia="el-GR"/>
        </w:rPr>
        <w:t xml:space="preserve"> 16</w:t>
      </w:r>
      <w:r w:rsidRPr="00E36734">
        <w:rPr>
          <w:rFonts w:ascii="Times New Roman" w:eastAsia="Times New Roman" w:hAnsi="Times New Roman" w:cs="Times New Roman"/>
          <w:sz w:val="24"/>
          <w:szCs w:val="24"/>
          <w:lang w:eastAsia="el-GR"/>
        </w:rPr>
        <w:t xml:space="preserve"> το ποσοστό των επιχειρήσεων που εκφράζουν το φόβο ενδεχόμενης διακοπής της δραστηριότητας τους το επόμενο διάστημα αυξάνεται. Έχει μάλιστα σχεδόν διπλασιαστεί σε σύγκριση με την αντίστοιχη έρευνα του Φεβρουάριο του 2020, δηλαδή λίγο πριν την εκδήλωση της υγειονομικής κρίσης. Συγκεκριμένα σχεδόν </w:t>
      </w:r>
      <w:bookmarkStart w:id="27" w:name="_Hlk68075912"/>
      <w:r w:rsidRPr="00E36734">
        <w:rPr>
          <w:rFonts w:ascii="Times New Roman" w:eastAsia="Times New Roman" w:hAnsi="Times New Roman" w:cs="Times New Roman"/>
          <w:sz w:val="24"/>
          <w:szCs w:val="24"/>
          <w:lang w:eastAsia="el-GR"/>
        </w:rPr>
        <w:t xml:space="preserve">4 στις 10 </w:t>
      </w:r>
      <w:r w:rsidR="00A1401D" w:rsidRPr="00E36734">
        <w:rPr>
          <w:rFonts w:ascii="Times New Roman" w:eastAsia="Times New Roman" w:hAnsi="Times New Roman" w:cs="Times New Roman"/>
          <w:sz w:val="24"/>
          <w:szCs w:val="24"/>
          <w:lang w:eastAsia="el-GR"/>
        </w:rPr>
        <w:t xml:space="preserve">(38,2%) </w:t>
      </w:r>
      <w:r w:rsidRPr="00E36734">
        <w:rPr>
          <w:rFonts w:ascii="Times New Roman" w:eastAsia="Times New Roman" w:hAnsi="Times New Roman" w:cs="Times New Roman"/>
          <w:sz w:val="24"/>
          <w:szCs w:val="24"/>
          <w:lang w:eastAsia="el-GR"/>
        </w:rPr>
        <w:t xml:space="preserve">επιχειρήσεις εκφράζουν το κίνδυνο να </w:t>
      </w:r>
      <w:r w:rsidR="00A1401D" w:rsidRPr="00E36734">
        <w:rPr>
          <w:rFonts w:ascii="Times New Roman" w:eastAsia="Times New Roman" w:hAnsi="Times New Roman" w:cs="Times New Roman"/>
          <w:sz w:val="24"/>
          <w:szCs w:val="24"/>
          <w:lang w:eastAsia="el-GR"/>
        </w:rPr>
        <w:t>διακόψουν την δραστηριότητα τους το επόμενο διάστημα.</w:t>
      </w:r>
      <w:bookmarkEnd w:id="27"/>
      <w:r w:rsidR="00A1401D" w:rsidRPr="00E36734">
        <w:rPr>
          <w:rFonts w:ascii="Times New Roman" w:eastAsia="Times New Roman" w:hAnsi="Times New Roman" w:cs="Times New Roman"/>
          <w:sz w:val="24"/>
          <w:szCs w:val="24"/>
          <w:lang w:eastAsia="el-GR"/>
        </w:rPr>
        <w:t xml:space="preserve"> </w:t>
      </w:r>
    </w:p>
    <w:p w14:paraId="6BF64CC3" w14:textId="77777777" w:rsidR="00117974" w:rsidRPr="00E36734" w:rsidRDefault="00117974" w:rsidP="00761263">
      <w:pPr>
        <w:spacing w:after="0" w:line="360" w:lineRule="auto"/>
        <w:jc w:val="both"/>
        <w:rPr>
          <w:rFonts w:ascii="Times New Roman" w:eastAsia="Times New Roman" w:hAnsi="Times New Roman" w:cs="Times New Roman"/>
          <w:sz w:val="24"/>
          <w:szCs w:val="24"/>
          <w:lang w:eastAsia="el-GR"/>
        </w:rPr>
      </w:pPr>
      <w:r w:rsidRPr="00E36734">
        <w:rPr>
          <w:rFonts w:ascii="Times New Roman" w:hAnsi="Times New Roman" w:cs="Times New Roman"/>
          <w:noProof/>
          <w:sz w:val="24"/>
          <w:szCs w:val="24"/>
          <w:lang w:eastAsia="el-GR"/>
        </w:rPr>
        <w:drawing>
          <wp:inline distT="0" distB="0" distL="0" distR="0" wp14:anchorId="4942C58A" wp14:editId="09DAFE5F">
            <wp:extent cx="6391275" cy="3870960"/>
            <wp:effectExtent l="0" t="0" r="9525" b="15240"/>
            <wp:docPr id="22" name="Γράφημα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834E3EB" w14:textId="3E1D687A" w:rsidR="00487FB4" w:rsidRPr="00E36734" w:rsidRDefault="00487FB4" w:rsidP="00487FB4">
      <w:p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Ειδικότερα το 14,6% των επιχειρήσεων δηλώνει πολύ πιθανό να διακόψει τη δραστηρι</w:t>
      </w:r>
      <w:r w:rsidR="00B63BE3" w:rsidRPr="00E36734">
        <w:rPr>
          <w:rFonts w:ascii="Times New Roman" w:eastAsia="Times New Roman" w:hAnsi="Times New Roman" w:cs="Times New Roman"/>
          <w:sz w:val="24"/>
          <w:szCs w:val="24"/>
          <w:lang w:eastAsia="el-GR"/>
        </w:rPr>
        <w:t xml:space="preserve">ότητα του το επόμενο διάστημα, </w:t>
      </w:r>
      <w:r w:rsidRPr="00E36734">
        <w:rPr>
          <w:rFonts w:ascii="Times New Roman" w:eastAsia="Times New Roman" w:hAnsi="Times New Roman" w:cs="Times New Roman"/>
          <w:sz w:val="24"/>
          <w:szCs w:val="24"/>
          <w:lang w:eastAsia="el-GR"/>
        </w:rPr>
        <w:t>το 23,6% αρκετά πιθανό, ενώ το 20,7% δηλώνει ελάχιστα πιθανό</w:t>
      </w:r>
      <w:r w:rsidR="00B63BE3" w:rsidRPr="00E36734">
        <w:rPr>
          <w:rFonts w:ascii="Times New Roman" w:eastAsia="Times New Roman" w:hAnsi="Times New Roman" w:cs="Times New Roman"/>
          <w:sz w:val="24"/>
          <w:szCs w:val="24"/>
          <w:lang w:eastAsia="el-GR"/>
        </w:rPr>
        <w:t xml:space="preserve"> και το 38,2% καθόλου πιθανό. </w:t>
      </w:r>
      <w:r w:rsidRPr="00E36734">
        <w:rPr>
          <w:rFonts w:ascii="Times New Roman" w:eastAsia="Times New Roman" w:hAnsi="Times New Roman" w:cs="Times New Roman"/>
          <w:sz w:val="24"/>
          <w:szCs w:val="24"/>
          <w:lang w:eastAsia="el-GR"/>
        </w:rPr>
        <w:t xml:space="preserve">Από τις επιχειρήσεις που δηλώνουν πολύ ή αρκετά πιθανό να κλείσουν το επόμενο διάστημα το 15,7% εκφράζει το φόβο ότι αυτό θα επέλθει το επόμενο τρίμηνο το 43,8% το επόμενο εξάμηνο και 35,3% αργότερα. </w:t>
      </w:r>
    </w:p>
    <w:p w14:paraId="62EBC7DA" w14:textId="11B98B6F" w:rsidR="008B6EB3" w:rsidRPr="00E36734" w:rsidRDefault="000A34B1" w:rsidP="00761263">
      <w:p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sz w:val="24"/>
          <w:szCs w:val="24"/>
          <w:lang w:eastAsia="el-GR"/>
        </w:rPr>
        <w:t xml:space="preserve">Στα επιμέρους στοιχεία </w:t>
      </w:r>
      <w:r w:rsidR="00487FB4" w:rsidRPr="00E36734">
        <w:rPr>
          <w:rFonts w:ascii="Times New Roman" w:eastAsia="Times New Roman" w:hAnsi="Times New Roman" w:cs="Times New Roman"/>
          <w:sz w:val="24"/>
          <w:szCs w:val="24"/>
          <w:lang w:eastAsia="el-GR"/>
        </w:rPr>
        <w:t xml:space="preserve">της έρευνας </w:t>
      </w:r>
      <w:r w:rsidRPr="00E36734">
        <w:rPr>
          <w:rFonts w:ascii="Times New Roman" w:eastAsia="Times New Roman" w:hAnsi="Times New Roman" w:cs="Times New Roman"/>
          <w:sz w:val="24"/>
          <w:szCs w:val="24"/>
          <w:lang w:eastAsia="el-GR"/>
        </w:rPr>
        <w:t xml:space="preserve">τα μεγαλύτερα ποσοστά </w:t>
      </w:r>
      <w:r w:rsidR="00487FB4" w:rsidRPr="00E36734">
        <w:rPr>
          <w:rFonts w:ascii="Times New Roman" w:eastAsia="Times New Roman" w:hAnsi="Times New Roman" w:cs="Times New Roman"/>
          <w:sz w:val="24"/>
          <w:szCs w:val="24"/>
          <w:lang w:eastAsia="el-GR"/>
        </w:rPr>
        <w:t>καταγράφονται</w:t>
      </w:r>
      <w:r w:rsidRPr="00E36734">
        <w:rPr>
          <w:rFonts w:ascii="Times New Roman" w:eastAsia="Times New Roman" w:hAnsi="Times New Roman" w:cs="Times New Roman"/>
          <w:sz w:val="24"/>
          <w:szCs w:val="24"/>
          <w:lang w:eastAsia="el-GR"/>
        </w:rPr>
        <w:t xml:space="preserve"> </w:t>
      </w:r>
      <w:r w:rsidR="00487FB4" w:rsidRPr="00E36734">
        <w:rPr>
          <w:rFonts w:ascii="Times New Roman" w:eastAsia="Times New Roman" w:hAnsi="Times New Roman" w:cs="Times New Roman"/>
          <w:sz w:val="24"/>
          <w:szCs w:val="24"/>
          <w:lang w:eastAsia="el-GR"/>
        </w:rPr>
        <w:t>στις υπηρεσίες</w:t>
      </w:r>
      <w:r w:rsidRPr="00E36734">
        <w:rPr>
          <w:rFonts w:ascii="Times New Roman" w:eastAsia="Times New Roman" w:hAnsi="Times New Roman" w:cs="Times New Roman"/>
          <w:sz w:val="24"/>
          <w:szCs w:val="24"/>
          <w:lang w:eastAsia="el-GR"/>
        </w:rPr>
        <w:t xml:space="preserve"> (</w:t>
      </w:r>
      <w:r w:rsidR="00487FB4" w:rsidRPr="00E36734">
        <w:rPr>
          <w:rFonts w:ascii="Times New Roman" w:eastAsia="Times New Roman" w:hAnsi="Times New Roman" w:cs="Times New Roman"/>
          <w:sz w:val="24"/>
          <w:szCs w:val="24"/>
          <w:lang w:eastAsia="el-GR"/>
        </w:rPr>
        <w:t>40,2%</w:t>
      </w:r>
      <w:r w:rsidRPr="00E36734">
        <w:rPr>
          <w:rFonts w:ascii="Times New Roman" w:eastAsia="Times New Roman" w:hAnsi="Times New Roman" w:cs="Times New Roman"/>
          <w:sz w:val="24"/>
          <w:szCs w:val="24"/>
          <w:lang w:eastAsia="el-GR"/>
        </w:rPr>
        <w:t xml:space="preserve">), στις </w:t>
      </w:r>
      <w:r w:rsidR="00487FB4" w:rsidRPr="00E36734">
        <w:rPr>
          <w:rFonts w:ascii="Times New Roman" w:eastAsia="Times New Roman" w:hAnsi="Times New Roman" w:cs="Times New Roman"/>
          <w:sz w:val="24"/>
          <w:szCs w:val="24"/>
          <w:lang w:eastAsia="el-GR"/>
        </w:rPr>
        <w:t>επιχειρήσεις με τζίρο κάτω από 50.000 €</w:t>
      </w:r>
      <w:r w:rsidR="00856E24" w:rsidRPr="00E36734">
        <w:rPr>
          <w:rFonts w:ascii="Times New Roman" w:eastAsia="Times New Roman" w:hAnsi="Times New Roman" w:cs="Times New Roman"/>
          <w:sz w:val="24"/>
          <w:szCs w:val="24"/>
          <w:lang w:eastAsia="el-GR"/>
        </w:rPr>
        <w:t xml:space="preserve">  (</w:t>
      </w:r>
      <w:r w:rsidR="00487FB4" w:rsidRPr="00E36734">
        <w:rPr>
          <w:rFonts w:ascii="Times New Roman" w:eastAsia="Times New Roman" w:hAnsi="Times New Roman" w:cs="Times New Roman"/>
          <w:sz w:val="24"/>
          <w:szCs w:val="24"/>
          <w:lang w:eastAsia="el-GR"/>
        </w:rPr>
        <w:t>49,3</w:t>
      </w:r>
      <w:r w:rsidRPr="00E36734">
        <w:rPr>
          <w:rFonts w:ascii="Times New Roman" w:eastAsia="Times New Roman" w:hAnsi="Times New Roman" w:cs="Times New Roman"/>
          <w:sz w:val="24"/>
          <w:szCs w:val="24"/>
          <w:lang w:eastAsia="el-GR"/>
        </w:rPr>
        <w:t>%) και στις επ</w:t>
      </w:r>
      <w:r w:rsidR="00856E24" w:rsidRPr="00E36734">
        <w:rPr>
          <w:rFonts w:ascii="Times New Roman" w:eastAsia="Times New Roman" w:hAnsi="Times New Roman" w:cs="Times New Roman"/>
          <w:sz w:val="24"/>
          <w:szCs w:val="24"/>
          <w:lang w:eastAsia="el-GR"/>
        </w:rPr>
        <w:t>ιχειρήσεις χωρίς προσωπικό (</w:t>
      </w:r>
      <w:r w:rsidR="00487FB4" w:rsidRPr="00E36734">
        <w:rPr>
          <w:rFonts w:ascii="Times New Roman" w:eastAsia="Times New Roman" w:hAnsi="Times New Roman" w:cs="Times New Roman"/>
          <w:sz w:val="24"/>
          <w:szCs w:val="24"/>
          <w:lang w:eastAsia="el-GR"/>
        </w:rPr>
        <w:t>50,7</w:t>
      </w:r>
      <w:r w:rsidRPr="00E36734">
        <w:rPr>
          <w:rFonts w:ascii="Times New Roman" w:eastAsia="Times New Roman" w:hAnsi="Times New Roman" w:cs="Times New Roman"/>
          <w:sz w:val="24"/>
          <w:szCs w:val="24"/>
          <w:lang w:eastAsia="el-GR"/>
        </w:rPr>
        <w:t>%).</w:t>
      </w:r>
    </w:p>
    <w:p w14:paraId="1F697872" w14:textId="0E4DF873" w:rsidR="007E56A7" w:rsidRPr="00E36734" w:rsidRDefault="007E56A7" w:rsidP="007E56A7">
      <w:pPr>
        <w:spacing w:after="0" w:line="360" w:lineRule="auto"/>
        <w:jc w:val="center"/>
        <w:rPr>
          <w:rFonts w:ascii="Times New Roman" w:eastAsia="Times New Roman" w:hAnsi="Times New Roman" w:cs="Times New Roman"/>
          <w:b/>
          <w:bCs/>
          <w:sz w:val="24"/>
          <w:szCs w:val="24"/>
          <w:lang w:eastAsia="el-GR"/>
        </w:rPr>
      </w:pPr>
    </w:p>
    <w:p w14:paraId="6040FDF6" w14:textId="77777777" w:rsidR="008D6CAD" w:rsidRPr="00E36734" w:rsidRDefault="008D6CAD" w:rsidP="007E56A7">
      <w:pPr>
        <w:spacing w:after="0" w:line="360" w:lineRule="auto"/>
        <w:jc w:val="center"/>
        <w:rPr>
          <w:rFonts w:ascii="Times New Roman" w:eastAsia="Times New Roman" w:hAnsi="Times New Roman" w:cs="Times New Roman"/>
          <w:b/>
          <w:bCs/>
          <w:sz w:val="24"/>
          <w:szCs w:val="24"/>
          <w:lang w:eastAsia="el-GR"/>
        </w:rPr>
      </w:pPr>
    </w:p>
    <w:p w14:paraId="0A5EEF82" w14:textId="34BFAB2A" w:rsidR="00143079" w:rsidRPr="00E36734" w:rsidRDefault="00B63BE3" w:rsidP="007E56A7">
      <w:pPr>
        <w:spacing w:after="0" w:line="360" w:lineRule="auto"/>
        <w:jc w:val="center"/>
        <w:rPr>
          <w:rFonts w:ascii="Times New Roman" w:eastAsia="Times New Roman" w:hAnsi="Times New Roman" w:cs="Times New Roman"/>
          <w:b/>
          <w:bCs/>
          <w:sz w:val="24"/>
          <w:szCs w:val="24"/>
          <w:lang w:eastAsia="el-GR"/>
        </w:rPr>
      </w:pPr>
      <w:r w:rsidRPr="00E36734">
        <w:rPr>
          <w:rFonts w:ascii="Times New Roman" w:eastAsia="Times New Roman" w:hAnsi="Times New Roman" w:cs="Times New Roman"/>
          <w:b/>
          <w:bCs/>
          <w:sz w:val="24"/>
          <w:szCs w:val="24"/>
          <w:lang w:eastAsia="el-GR"/>
        </w:rPr>
        <w:lastRenderedPageBreak/>
        <w:t>Γράφημα 17</w:t>
      </w:r>
    </w:p>
    <w:p w14:paraId="26DCD840" w14:textId="1F6BC3E6" w:rsidR="00344F20" w:rsidRPr="00E36734" w:rsidRDefault="00344F20" w:rsidP="00344F20">
      <w:pPr>
        <w:spacing w:after="0" w:line="360" w:lineRule="auto"/>
        <w:jc w:val="center"/>
        <w:rPr>
          <w:rFonts w:ascii="Times New Roman" w:eastAsia="Times New Roman" w:hAnsi="Times New Roman" w:cs="Times New Roman"/>
          <w:b/>
          <w:bCs/>
          <w:lang w:eastAsia="el-GR"/>
        </w:rPr>
      </w:pPr>
      <w:r w:rsidRPr="00E36734">
        <w:rPr>
          <w:rFonts w:ascii="Times New Roman" w:eastAsia="Times New Roman" w:hAnsi="Times New Roman" w:cs="Times New Roman"/>
          <w:b/>
          <w:bCs/>
          <w:lang w:eastAsia="el-GR"/>
        </w:rPr>
        <w:t>Με τις υπάρχουσες σήμερα συνθήκες και με τις προοπτικές όπως διαμορφώνονται, θεωρείτε πιθανό ή όχι το</w:t>
      </w:r>
      <w:r w:rsidR="007E56A7" w:rsidRPr="00E36734">
        <w:rPr>
          <w:rFonts w:ascii="Times New Roman" w:eastAsia="Times New Roman" w:hAnsi="Times New Roman" w:cs="Times New Roman"/>
          <w:b/>
          <w:bCs/>
          <w:lang w:eastAsia="el-GR"/>
        </w:rPr>
        <w:t xml:space="preserve"> </w:t>
      </w:r>
      <w:r w:rsidRPr="00E36734">
        <w:rPr>
          <w:rFonts w:ascii="Times New Roman" w:eastAsia="Times New Roman" w:hAnsi="Times New Roman" w:cs="Times New Roman"/>
          <w:b/>
          <w:bCs/>
          <w:lang w:eastAsia="el-GR"/>
        </w:rPr>
        <w:t>ενδεχόμενο η επιχείρησή σας να έχει σοβαρό πρόβλημα λειτουργίας το επόμενο διάστημα σε βαθμό που θα κινδυνεύει να κλείσει;</w:t>
      </w:r>
    </w:p>
    <w:p w14:paraId="4968653B" w14:textId="1FCCCF10" w:rsidR="00344F20" w:rsidRPr="00E36734" w:rsidRDefault="00344F20" w:rsidP="00143079">
      <w:pPr>
        <w:spacing w:after="0" w:line="360" w:lineRule="auto"/>
        <w:jc w:val="both"/>
        <w:rPr>
          <w:rFonts w:ascii="Times New Roman" w:eastAsia="Times New Roman" w:hAnsi="Times New Roman" w:cs="Times New Roman"/>
          <w:sz w:val="24"/>
          <w:szCs w:val="24"/>
          <w:lang w:eastAsia="el-GR"/>
        </w:rPr>
      </w:pPr>
      <w:r w:rsidRPr="00E36734">
        <w:rPr>
          <w:rFonts w:ascii="Times New Roman" w:eastAsia="Times New Roman" w:hAnsi="Times New Roman" w:cs="Times New Roman"/>
          <w:noProof/>
          <w:sz w:val="24"/>
          <w:szCs w:val="24"/>
          <w:lang w:eastAsia="el-GR"/>
        </w:rPr>
        <w:drawing>
          <wp:inline distT="0" distB="0" distL="0" distR="0" wp14:anchorId="0F306A7D" wp14:editId="2C9D8C09">
            <wp:extent cx="6570980" cy="2567940"/>
            <wp:effectExtent l="0" t="0" r="1270" b="3810"/>
            <wp:docPr id="15" name="Γράφημα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FE2AB76" w14:textId="77777777" w:rsidR="00CC546C" w:rsidRPr="00E36734" w:rsidRDefault="00CC546C" w:rsidP="00143079">
      <w:pPr>
        <w:spacing w:after="0" w:line="360" w:lineRule="auto"/>
        <w:jc w:val="both"/>
        <w:rPr>
          <w:rFonts w:ascii="Times New Roman" w:eastAsia="Times New Roman" w:hAnsi="Times New Roman" w:cs="Times New Roman"/>
          <w:bCs/>
          <w:sz w:val="24"/>
          <w:szCs w:val="24"/>
          <w:lang w:eastAsia="el-GR"/>
        </w:rPr>
      </w:pPr>
    </w:p>
    <w:p w14:paraId="499CA621" w14:textId="5AA465CF" w:rsidR="00344F20" w:rsidRPr="00E36734" w:rsidRDefault="00E31104" w:rsidP="00143079">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 xml:space="preserve">Εξαιρετικά </w:t>
      </w:r>
      <w:r w:rsidR="00E445BB" w:rsidRPr="00E36734">
        <w:rPr>
          <w:rFonts w:ascii="Times New Roman" w:eastAsia="Times New Roman" w:hAnsi="Times New Roman" w:cs="Times New Roman"/>
          <w:bCs/>
          <w:sz w:val="24"/>
          <w:szCs w:val="24"/>
          <w:lang w:eastAsia="el-GR"/>
        </w:rPr>
        <w:t>δυσοίωνη</w:t>
      </w:r>
      <w:r w:rsidRPr="00E36734">
        <w:rPr>
          <w:rFonts w:ascii="Times New Roman" w:eastAsia="Times New Roman" w:hAnsi="Times New Roman" w:cs="Times New Roman"/>
          <w:bCs/>
          <w:sz w:val="24"/>
          <w:szCs w:val="24"/>
          <w:lang w:eastAsia="el-GR"/>
        </w:rPr>
        <w:t xml:space="preserve"> φαίνεται η </w:t>
      </w:r>
      <w:r w:rsidR="00E445BB" w:rsidRPr="00E36734">
        <w:rPr>
          <w:rFonts w:ascii="Times New Roman" w:eastAsia="Times New Roman" w:hAnsi="Times New Roman" w:cs="Times New Roman"/>
          <w:bCs/>
          <w:sz w:val="24"/>
          <w:szCs w:val="24"/>
          <w:lang w:eastAsia="el-GR"/>
        </w:rPr>
        <w:t>κατάσταση</w:t>
      </w:r>
      <w:r w:rsidRPr="00E36734">
        <w:rPr>
          <w:rFonts w:ascii="Times New Roman" w:eastAsia="Times New Roman" w:hAnsi="Times New Roman" w:cs="Times New Roman"/>
          <w:bCs/>
          <w:sz w:val="24"/>
          <w:szCs w:val="24"/>
          <w:lang w:eastAsia="el-GR"/>
        </w:rPr>
        <w:t xml:space="preserve"> ως προς τη βιωσιμότητα </w:t>
      </w:r>
      <w:r w:rsidR="00E445BB" w:rsidRPr="00E36734">
        <w:rPr>
          <w:rFonts w:ascii="Times New Roman" w:eastAsia="Times New Roman" w:hAnsi="Times New Roman" w:cs="Times New Roman"/>
          <w:bCs/>
          <w:sz w:val="24"/>
          <w:szCs w:val="24"/>
          <w:lang w:eastAsia="el-GR"/>
        </w:rPr>
        <w:t>των</w:t>
      </w:r>
      <w:r w:rsidRPr="00E36734">
        <w:rPr>
          <w:rFonts w:ascii="Times New Roman" w:eastAsia="Times New Roman" w:hAnsi="Times New Roman" w:cs="Times New Roman"/>
          <w:bCs/>
          <w:sz w:val="24"/>
          <w:szCs w:val="24"/>
          <w:lang w:eastAsia="el-GR"/>
        </w:rPr>
        <w:t xml:space="preserve"> </w:t>
      </w:r>
      <w:r w:rsidR="00E445BB" w:rsidRPr="00E36734">
        <w:rPr>
          <w:rFonts w:ascii="Times New Roman" w:eastAsia="Times New Roman" w:hAnsi="Times New Roman" w:cs="Times New Roman"/>
          <w:bCs/>
          <w:sz w:val="24"/>
          <w:szCs w:val="24"/>
          <w:lang w:eastAsia="el-GR"/>
        </w:rPr>
        <w:t>επιχειρήσεων</w:t>
      </w:r>
      <w:r w:rsidRPr="00E36734">
        <w:rPr>
          <w:rFonts w:ascii="Times New Roman" w:eastAsia="Times New Roman" w:hAnsi="Times New Roman" w:cs="Times New Roman"/>
          <w:bCs/>
          <w:sz w:val="24"/>
          <w:szCs w:val="24"/>
          <w:lang w:eastAsia="el-GR"/>
        </w:rPr>
        <w:t xml:space="preserve"> που έχουν </w:t>
      </w:r>
      <w:r w:rsidR="00E445BB" w:rsidRPr="00E36734">
        <w:rPr>
          <w:rFonts w:ascii="Times New Roman" w:eastAsia="Times New Roman" w:hAnsi="Times New Roman" w:cs="Times New Roman"/>
          <w:bCs/>
          <w:sz w:val="24"/>
          <w:szCs w:val="24"/>
          <w:lang w:eastAsia="el-GR"/>
        </w:rPr>
        <w:t>αναστείλει</w:t>
      </w:r>
      <w:r w:rsidRPr="00E36734">
        <w:rPr>
          <w:rFonts w:ascii="Times New Roman" w:eastAsia="Times New Roman" w:hAnsi="Times New Roman" w:cs="Times New Roman"/>
          <w:bCs/>
          <w:sz w:val="24"/>
          <w:szCs w:val="24"/>
          <w:lang w:eastAsia="el-GR"/>
        </w:rPr>
        <w:t xml:space="preserve"> τη λειτουργία τους με κρατική εντολή. Συγκεκριμένα περισσότερες από τις </w:t>
      </w:r>
      <w:r w:rsidR="00E445BB" w:rsidRPr="00E36734">
        <w:rPr>
          <w:rFonts w:ascii="Times New Roman" w:eastAsia="Times New Roman" w:hAnsi="Times New Roman" w:cs="Times New Roman"/>
          <w:bCs/>
          <w:sz w:val="24"/>
          <w:szCs w:val="24"/>
          <w:lang w:eastAsia="el-GR"/>
        </w:rPr>
        <w:t>μισές</w:t>
      </w:r>
      <w:r w:rsidRPr="00E36734">
        <w:rPr>
          <w:rFonts w:ascii="Times New Roman" w:eastAsia="Times New Roman" w:hAnsi="Times New Roman" w:cs="Times New Roman"/>
          <w:bCs/>
          <w:sz w:val="24"/>
          <w:szCs w:val="24"/>
          <w:lang w:eastAsia="el-GR"/>
        </w:rPr>
        <w:t xml:space="preserve"> επιχειρήσεις </w:t>
      </w:r>
      <w:r w:rsidR="00E445BB" w:rsidRPr="00E36734">
        <w:rPr>
          <w:rFonts w:ascii="Times New Roman" w:eastAsia="Times New Roman" w:hAnsi="Times New Roman" w:cs="Times New Roman"/>
          <w:bCs/>
          <w:sz w:val="24"/>
          <w:szCs w:val="24"/>
          <w:lang w:eastAsia="el-GR"/>
        </w:rPr>
        <w:t xml:space="preserve">(53,9%) </w:t>
      </w:r>
      <w:r w:rsidRPr="00E36734">
        <w:rPr>
          <w:rFonts w:ascii="Times New Roman" w:eastAsia="Times New Roman" w:hAnsi="Times New Roman" w:cs="Times New Roman"/>
          <w:bCs/>
          <w:sz w:val="24"/>
          <w:szCs w:val="24"/>
          <w:lang w:eastAsia="el-GR"/>
        </w:rPr>
        <w:t xml:space="preserve">που έχουν τεθεί σε αναστολή </w:t>
      </w:r>
      <w:r w:rsidR="00E445BB" w:rsidRPr="00E36734">
        <w:rPr>
          <w:rFonts w:ascii="Times New Roman" w:eastAsia="Times New Roman" w:hAnsi="Times New Roman" w:cs="Times New Roman"/>
          <w:bCs/>
          <w:sz w:val="24"/>
          <w:szCs w:val="24"/>
          <w:lang w:eastAsia="el-GR"/>
        </w:rPr>
        <w:t>λειτουργίας</w:t>
      </w:r>
      <w:r w:rsidRPr="00E36734">
        <w:rPr>
          <w:rFonts w:ascii="Times New Roman" w:eastAsia="Times New Roman" w:hAnsi="Times New Roman" w:cs="Times New Roman"/>
          <w:bCs/>
          <w:sz w:val="24"/>
          <w:szCs w:val="24"/>
          <w:lang w:eastAsia="el-GR"/>
        </w:rPr>
        <w:t xml:space="preserve"> </w:t>
      </w:r>
      <w:r w:rsidR="00E445BB" w:rsidRPr="00E36734">
        <w:rPr>
          <w:rFonts w:ascii="Times New Roman" w:eastAsia="Times New Roman" w:hAnsi="Times New Roman" w:cs="Times New Roman"/>
          <w:bCs/>
          <w:sz w:val="24"/>
          <w:szCs w:val="24"/>
          <w:lang w:eastAsia="el-GR"/>
        </w:rPr>
        <w:t xml:space="preserve">εκφράζουν το φόβο πως θα διακόψουν την λειτουργία τους το επόμενο διάστημα. Αντίστοιχα είναι και τα στοιχεία για τις επιχειρήσεις εστίασης. </w:t>
      </w:r>
    </w:p>
    <w:p w14:paraId="5BA817C2" w14:textId="77777777" w:rsidR="00CC546C" w:rsidRPr="00E36734" w:rsidRDefault="00CC546C" w:rsidP="00143079">
      <w:pPr>
        <w:spacing w:after="0" w:line="360" w:lineRule="auto"/>
        <w:jc w:val="both"/>
        <w:rPr>
          <w:rFonts w:ascii="Times New Roman" w:eastAsia="Times New Roman" w:hAnsi="Times New Roman" w:cs="Times New Roman"/>
          <w:bCs/>
          <w:sz w:val="24"/>
          <w:szCs w:val="24"/>
          <w:lang w:eastAsia="el-GR"/>
        </w:rPr>
      </w:pP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072"/>
        <w:gridCol w:w="1890"/>
        <w:gridCol w:w="1890"/>
        <w:gridCol w:w="1890"/>
        <w:gridCol w:w="1630"/>
      </w:tblGrid>
      <w:tr w:rsidR="00487FB4" w:rsidRPr="00E36734" w14:paraId="2CF4EE40" w14:textId="77777777" w:rsidTr="00BE7C9E">
        <w:trPr>
          <w:trHeight w:val="458"/>
        </w:trPr>
        <w:tc>
          <w:tcPr>
            <w:tcW w:w="3072" w:type="dxa"/>
            <w:vMerge w:val="restart"/>
            <w:shd w:val="clear" w:color="auto" w:fill="FDEADA"/>
            <w:tcMar>
              <w:top w:w="12" w:type="dxa"/>
              <w:left w:w="12" w:type="dxa"/>
              <w:bottom w:w="0" w:type="dxa"/>
              <w:right w:w="12" w:type="dxa"/>
            </w:tcMar>
            <w:vAlign w:val="bottom"/>
            <w:hideMark/>
          </w:tcPr>
          <w:p w14:paraId="4BDB190E" w14:textId="77777777" w:rsidR="007E56A7" w:rsidRPr="00E36734" w:rsidRDefault="007E56A7" w:rsidP="00BE7C9E">
            <w:pPr>
              <w:spacing w:line="240" w:lineRule="auto"/>
              <w:jc w:val="center"/>
              <w:rPr>
                <w:rFonts w:eastAsia="Times New Roman" w:cstheme="minorHAnsi"/>
                <w:b/>
                <w:bCs/>
                <w:sz w:val="20"/>
                <w:szCs w:val="20"/>
              </w:rPr>
            </w:pPr>
            <w:r w:rsidRPr="00E36734">
              <w:rPr>
                <w:rFonts w:eastAsia="Times New Roman" w:cstheme="minorHAnsi"/>
                <w:b/>
                <w:bCs/>
                <w:sz w:val="20"/>
                <w:szCs w:val="20"/>
              </w:rPr>
              <w:t>Πίνακας 7</w:t>
            </w:r>
          </w:p>
          <w:p w14:paraId="35B787E1" w14:textId="66D671DD" w:rsidR="00487FB4" w:rsidRPr="00E36734" w:rsidRDefault="00BE7C9E" w:rsidP="00BE7C9E">
            <w:pPr>
              <w:spacing w:line="240" w:lineRule="auto"/>
              <w:jc w:val="center"/>
              <w:rPr>
                <w:rFonts w:eastAsia="Times New Roman" w:cstheme="minorHAnsi"/>
                <w:sz w:val="18"/>
                <w:szCs w:val="18"/>
              </w:rPr>
            </w:pPr>
            <w:r w:rsidRPr="00E36734">
              <w:rPr>
                <w:rFonts w:eastAsia="Times New Roman" w:cstheme="minorHAnsi"/>
                <w:sz w:val="18"/>
                <w:szCs w:val="18"/>
              </w:rPr>
              <w:t>Με τις υπάρχουσες σήμερα συνθήκες και με τις προοπτικές όπως διαμορφώνονται, θεωρείτε πιθανό ή όχι το ενδεχόμενο η επιχείρησή σας να έχει σοβαρό πρόβλημα λειτουργίας το επόμενο διάστημα σε βαθμό που θα κινδυνεύει να κλείσει;</w:t>
            </w:r>
          </w:p>
        </w:tc>
        <w:tc>
          <w:tcPr>
            <w:tcW w:w="5670" w:type="dxa"/>
            <w:gridSpan w:val="3"/>
            <w:shd w:val="clear" w:color="auto" w:fill="FDEADA"/>
            <w:tcMar>
              <w:top w:w="12" w:type="dxa"/>
              <w:left w:w="12" w:type="dxa"/>
              <w:bottom w:w="0" w:type="dxa"/>
              <w:right w:w="12" w:type="dxa"/>
            </w:tcMar>
            <w:vAlign w:val="center"/>
            <w:hideMark/>
          </w:tcPr>
          <w:p w14:paraId="5CE4A066" w14:textId="77777777" w:rsidR="00487FB4" w:rsidRPr="00E36734" w:rsidRDefault="00487FB4" w:rsidP="00487FB4">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Επιχειρήσεις που το τελευταίο εξάμηνο...</w:t>
            </w:r>
          </w:p>
        </w:tc>
        <w:tc>
          <w:tcPr>
            <w:tcW w:w="1630" w:type="dxa"/>
            <w:vMerge w:val="restart"/>
            <w:shd w:val="clear" w:color="auto" w:fill="FDEADA"/>
          </w:tcPr>
          <w:p w14:paraId="49EA44D7" w14:textId="77777777" w:rsidR="00487FB4" w:rsidRPr="00E36734" w:rsidRDefault="00487FB4" w:rsidP="00487FB4">
            <w:pPr>
              <w:spacing w:after="0" w:line="240" w:lineRule="auto"/>
              <w:jc w:val="center"/>
              <w:textAlignment w:val="center"/>
              <w:rPr>
                <w:rFonts w:eastAsia="Microsoft JhengHei UI" w:cstheme="minorHAnsi"/>
                <w:color w:val="000000"/>
                <w:kern w:val="24"/>
                <w:sz w:val="18"/>
                <w:szCs w:val="18"/>
              </w:rPr>
            </w:pPr>
          </w:p>
          <w:p w14:paraId="3B5FD980" w14:textId="77777777" w:rsidR="00487FB4" w:rsidRPr="00E36734" w:rsidRDefault="00487FB4" w:rsidP="00487FB4">
            <w:pPr>
              <w:spacing w:after="0" w:line="240" w:lineRule="auto"/>
              <w:jc w:val="center"/>
              <w:textAlignment w:val="center"/>
              <w:rPr>
                <w:rFonts w:eastAsia="Microsoft JhengHei UI" w:cstheme="minorHAnsi"/>
                <w:color w:val="000000"/>
                <w:kern w:val="24"/>
                <w:sz w:val="18"/>
                <w:szCs w:val="18"/>
              </w:rPr>
            </w:pPr>
          </w:p>
          <w:p w14:paraId="0227CE25" w14:textId="77777777" w:rsidR="00BE7C9E" w:rsidRPr="00E36734" w:rsidRDefault="00BE7C9E" w:rsidP="00487FB4">
            <w:pPr>
              <w:spacing w:after="0" w:line="240" w:lineRule="auto"/>
              <w:jc w:val="center"/>
              <w:textAlignment w:val="center"/>
              <w:rPr>
                <w:rFonts w:eastAsia="Microsoft JhengHei UI" w:cstheme="minorHAnsi"/>
                <w:color w:val="000000"/>
                <w:kern w:val="24"/>
                <w:sz w:val="18"/>
                <w:szCs w:val="18"/>
              </w:rPr>
            </w:pPr>
          </w:p>
          <w:p w14:paraId="6727E4D4" w14:textId="779AA138" w:rsidR="00487FB4" w:rsidRPr="00E36734" w:rsidRDefault="00487FB4" w:rsidP="00487FB4">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Επιχειρήσεις</w:t>
            </w:r>
          </w:p>
          <w:p w14:paraId="00829759" w14:textId="77777777" w:rsidR="00487FB4" w:rsidRPr="00E36734" w:rsidRDefault="00487FB4" w:rsidP="00487FB4">
            <w:pPr>
              <w:spacing w:after="0" w:line="240" w:lineRule="auto"/>
              <w:jc w:val="center"/>
              <w:textAlignment w:val="center"/>
              <w:rPr>
                <w:rFonts w:eastAsia="Microsoft JhengHei UI" w:cstheme="minorHAnsi"/>
                <w:color w:val="000000"/>
                <w:kern w:val="24"/>
                <w:sz w:val="18"/>
                <w:szCs w:val="18"/>
              </w:rPr>
            </w:pPr>
            <w:r w:rsidRPr="00E36734">
              <w:rPr>
                <w:rFonts w:eastAsia="Microsoft JhengHei UI" w:cstheme="minorHAnsi"/>
                <w:color w:val="000000"/>
                <w:kern w:val="24"/>
                <w:sz w:val="18"/>
                <w:szCs w:val="18"/>
              </w:rPr>
              <w:t xml:space="preserve"> εστίασης</w:t>
            </w:r>
          </w:p>
        </w:tc>
      </w:tr>
      <w:tr w:rsidR="00487FB4" w:rsidRPr="00E36734" w14:paraId="090E22D2" w14:textId="77777777" w:rsidTr="00BE7C9E">
        <w:trPr>
          <w:trHeight w:val="872"/>
        </w:trPr>
        <w:tc>
          <w:tcPr>
            <w:tcW w:w="3072" w:type="dxa"/>
            <w:vMerge/>
            <w:shd w:val="clear" w:color="auto" w:fill="FDEADA"/>
            <w:tcMar>
              <w:top w:w="12" w:type="dxa"/>
              <w:left w:w="12" w:type="dxa"/>
              <w:bottom w:w="0" w:type="dxa"/>
              <w:right w:w="12" w:type="dxa"/>
            </w:tcMar>
            <w:vAlign w:val="bottom"/>
            <w:hideMark/>
          </w:tcPr>
          <w:p w14:paraId="4B64DA94" w14:textId="77777777" w:rsidR="00487FB4" w:rsidRPr="00E36734" w:rsidRDefault="00487FB4" w:rsidP="00487FB4">
            <w:pPr>
              <w:spacing w:after="0" w:line="240" w:lineRule="auto"/>
              <w:jc w:val="center"/>
              <w:rPr>
                <w:rFonts w:eastAsia="Times New Roman" w:cstheme="minorHAnsi"/>
                <w:sz w:val="18"/>
                <w:szCs w:val="18"/>
              </w:rPr>
            </w:pPr>
          </w:p>
        </w:tc>
        <w:tc>
          <w:tcPr>
            <w:tcW w:w="1890" w:type="dxa"/>
            <w:shd w:val="clear" w:color="auto" w:fill="FDEADA"/>
            <w:tcMar>
              <w:top w:w="12" w:type="dxa"/>
              <w:left w:w="12" w:type="dxa"/>
              <w:bottom w:w="0" w:type="dxa"/>
              <w:right w:w="12" w:type="dxa"/>
            </w:tcMar>
            <w:vAlign w:val="center"/>
            <w:hideMark/>
          </w:tcPr>
          <w:p w14:paraId="77223020" w14:textId="77777777" w:rsidR="00487FB4" w:rsidRPr="00E36734" w:rsidRDefault="00487FB4" w:rsidP="00487FB4">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ανέστειλαν την δραστηριότητα τους με κρατική εντολή</w:t>
            </w:r>
          </w:p>
        </w:tc>
        <w:tc>
          <w:tcPr>
            <w:tcW w:w="1890" w:type="dxa"/>
            <w:shd w:val="clear" w:color="auto" w:fill="FDEADA"/>
            <w:tcMar>
              <w:top w:w="12" w:type="dxa"/>
              <w:left w:w="12" w:type="dxa"/>
              <w:bottom w:w="0" w:type="dxa"/>
              <w:right w:w="12" w:type="dxa"/>
            </w:tcMar>
            <w:vAlign w:val="center"/>
            <w:hideMark/>
          </w:tcPr>
          <w:p w14:paraId="759D2160" w14:textId="77777777" w:rsidR="00487FB4" w:rsidRPr="00E36734" w:rsidRDefault="00487FB4" w:rsidP="00487FB4">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ανήκαν στις πληττόμενες βάσει ΚΑΔ επιχειρήσεις</w:t>
            </w:r>
          </w:p>
        </w:tc>
        <w:tc>
          <w:tcPr>
            <w:tcW w:w="1890" w:type="dxa"/>
            <w:shd w:val="clear" w:color="auto" w:fill="FDEADA"/>
            <w:tcMar>
              <w:top w:w="12" w:type="dxa"/>
              <w:left w:w="12" w:type="dxa"/>
              <w:bottom w:w="0" w:type="dxa"/>
              <w:right w:w="12" w:type="dxa"/>
            </w:tcMar>
            <w:vAlign w:val="center"/>
            <w:hideMark/>
          </w:tcPr>
          <w:p w14:paraId="2816537E" w14:textId="615E3EC3" w:rsidR="00487FB4" w:rsidRPr="00E36734" w:rsidRDefault="00BE7C9E" w:rsidP="00487FB4">
            <w:pPr>
              <w:spacing w:after="0" w:line="240" w:lineRule="auto"/>
              <w:jc w:val="center"/>
              <w:textAlignment w:val="center"/>
              <w:rPr>
                <w:rFonts w:eastAsia="Times New Roman" w:cstheme="minorHAnsi"/>
                <w:sz w:val="18"/>
                <w:szCs w:val="18"/>
              </w:rPr>
            </w:pPr>
            <w:r w:rsidRPr="00E36734">
              <w:rPr>
                <w:rFonts w:eastAsia="Microsoft JhengHei UI" w:cstheme="minorHAnsi"/>
                <w:color w:val="000000"/>
                <w:kern w:val="24"/>
                <w:sz w:val="18"/>
                <w:szCs w:val="18"/>
              </w:rPr>
              <w:t>δ</w:t>
            </w:r>
            <w:r w:rsidR="00487FB4" w:rsidRPr="00E36734">
              <w:rPr>
                <w:rFonts w:eastAsia="Microsoft JhengHei UI" w:cstheme="minorHAnsi"/>
                <w:color w:val="000000"/>
                <w:kern w:val="24"/>
                <w:sz w:val="18"/>
                <w:szCs w:val="18"/>
              </w:rPr>
              <w:t>εν ανήκαν σε καμία από τις παρακείμενες κατηγορίες</w:t>
            </w:r>
          </w:p>
        </w:tc>
        <w:tc>
          <w:tcPr>
            <w:tcW w:w="1630" w:type="dxa"/>
            <w:vMerge/>
            <w:shd w:val="clear" w:color="auto" w:fill="FDEADA"/>
          </w:tcPr>
          <w:p w14:paraId="7B8DC6BC" w14:textId="77777777" w:rsidR="00487FB4" w:rsidRPr="00E36734" w:rsidRDefault="00487FB4" w:rsidP="00487FB4">
            <w:pPr>
              <w:spacing w:after="0" w:line="240" w:lineRule="auto"/>
              <w:jc w:val="center"/>
              <w:textAlignment w:val="center"/>
              <w:rPr>
                <w:rFonts w:eastAsia="Microsoft JhengHei UI" w:cstheme="minorHAnsi"/>
                <w:color w:val="000000"/>
                <w:kern w:val="24"/>
                <w:sz w:val="18"/>
                <w:szCs w:val="18"/>
              </w:rPr>
            </w:pPr>
          </w:p>
        </w:tc>
      </w:tr>
      <w:tr w:rsidR="00487FB4" w:rsidRPr="00E36734" w14:paraId="2BE68000" w14:textId="77777777" w:rsidTr="00BE7C9E">
        <w:trPr>
          <w:trHeight w:val="458"/>
        </w:trPr>
        <w:tc>
          <w:tcPr>
            <w:tcW w:w="3072" w:type="dxa"/>
            <w:shd w:val="clear" w:color="auto" w:fill="auto"/>
            <w:tcMar>
              <w:top w:w="12" w:type="dxa"/>
              <w:left w:w="12" w:type="dxa"/>
              <w:bottom w:w="0" w:type="dxa"/>
              <w:right w:w="12" w:type="dxa"/>
            </w:tcMar>
            <w:vAlign w:val="center"/>
            <w:hideMark/>
          </w:tcPr>
          <w:p w14:paraId="7E5A83F7" w14:textId="470875C1" w:rsidR="00487FB4" w:rsidRPr="00E36734" w:rsidRDefault="00BE7C9E" w:rsidP="00487FB4">
            <w:pPr>
              <w:spacing w:before="240" w:after="0" w:line="240" w:lineRule="auto"/>
              <w:jc w:val="center"/>
              <w:textAlignment w:val="bottom"/>
              <w:rPr>
                <w:rFonts w:eastAsia="Times New Roman" w:cstheme="minorHAnsi"/>
                <w:sz w:val="18"/>
                <w:szCs w:val="18"/>
              </w:rPr>
            </w:pPr>
            <w:r w:rsidRPr="00E36734">
              <w:rPr>
                <w:rFonts w:eastAsia="Times New Roman" w:cstheme="minorHAnsi"/>
                <w:sz w:val="18"/>
                <w:szCs w:val="18"/>
              </w:rPr>
              <w:t>Πολύ&amp; αρκετά πιθανό</w:t>
            </w:r>
          </w:p>
        </w:tc>
        <w:tc>
          <w:tcPr>
            <w:tcW w:w="1890" w:type="dxa"/>
            <w:shd w:val="clear" w:color="auto" w:fill="auto"/>
            <w:tcMar>
              <w:top w:w="12" w:type="dxa"/>
              <w:left w:w="12" w:type="dxa"/>
              <w:bottom w:w="0" w:type="dxa"/>
              <w:right w:w="12" w:type="dxa"/>
            </w:tcMar>
            <w:hideMark/>
          </w:tcPr>
          <w:p w14:paraId="718584FA" w14:textId="20B76826" w:rsidR="00487FB4" w:rsidRPr="00E36734" w:rsidRDefault="00BE7C9E" w:rsidP="00487FB4">
            <w:pPr>
              <w:spacing w:before="240" w:after="0" w:line="240" w:lineRule="auto"/>
              <w:jc w:val="center"/>
              <w:textAlignment w:val="center"/>
              <w:rPr>
                <w:rFonts w:eastAsia="Times New Roman" w:cstheme="minorHAnsi"/>
                <w:sz w:val="18"/>
                <w:szCs w:val="18"/>
                <w:lang w:val="en-US"/>
              </w:rPr>
            </w:pPr>
            <w:r w:rsidRPr="00E36734">
              <w:t>53,9</w:t>
            </w:r>
          </w:p>
        </w:tc>
        <w:tc>
          <w:tcPr>
            <w:tcW w:w="1890" w:type="dxa"/>
            <w:shd w:val="clear" w:color="auto" w:fill="auto"/>
            <w:tcMar>
              <w:top w:w="12" w:type="dxa"/>
              <w:left w:w="12" w:type="dxa"/>
              <w:bottom w:w="0" w:type="dxa"/>
              <w:right w:w="12" w:type="dxa"/>
            </w:tcMar>
            <w:hideMark/>
          </w:tcPr>
          <w:p w14:paraId="2A4B5A8A" w14:textId="154A01DC" w:rsidR="00487FB4" w:rsidRPr="00E36734" w:rsidRDefault="00BE7C9E" w:rsidP="00487FB4">
            <w:pPr>
              <w:spacing w:before="240" w:after="0" w:line="240" w:lineRule="auto"/>
              <w:jc w:val="center"/>
              <w:textAlignment w:val="center"/>
              <w:rPr>
                <w:rFonts w:eastAsia="Times New Roman" w:cstheme="minorHAnsi"/>
                <w:sz w:val="18"/>
                <w:szCs w:val="18"/>
                <w:lang w:val="en-US"/>
              </w:rPr>
            </w:pPr>
            <w:r w:rsidRPr="00E36734">
              <w:t>36</w:t>
            </w:r>
          </w:p>
        </w:tc>
        <w:tc>
          <w:tcPr>
            <w:tcW w:w="1890" w:type="dxa"/>
            <w:shd w:val="clear" w:color="auto" w:fill="auto"/>
            <w:tcMar>
              <w:top w:w="12" w:type="dxa"/>
              <w:left w:w="12" w:type="dxa"/>
              <w:bottom w:w="0" w:type="dxa"/>
              <w:right w:w="12" w:type="dxa"/>
            </w:tcMar>
            <w:hideMark/>
          </w:tcPr>
          <w:p w14:paraId="27DD3361" w14:textId="0DA99426" w:rsidR="00487FB4" w:rsidRPr="00E36734" w:rsidRDefault="00BE7C9E" w:rsidP="00487FB4">
            <w:pPr>
              <w:spacing w:before="240" w:after="0" w:line="240" w:lineRule="auto"/>
              <w:jc w:val="center"/>
              <w:textAlignment w:val="center"/>
              <w:rPr>
                <w:rFonts w:eastAsia="Times New Roman" w:cstheme="minorHAnsi"/>
                <w:sz w:val="18"/>
                <w:szCs w:val="18"/>
                <w:lang w:val="en-US"/>
              </w:rPr>
            </w:pPr>
            <w:r w:rsidRPr="00E36734">
              <w:t>26,7</w:t>
            </w:r>
          </w:p>
        </w:tc>
        <w:tc>
          <w:tcPr>
            <w:tcW w:w="1630" w:type="dxa"/>
            <w:shd w:val="clear" w:color="auto" w:fill="auto"/>
          </w:tcPr>
          <w:p w14:paraId="6C08E282" w14:textId="666376A7" w:rsidR="00487FB4" w:rsidRPr="00E36734" w:rsidRDefault="00BE7C9E" w:rsidP="00487FB4">
            <w:pPr>
              <w:spacing w:before="240" w:after="0" w:line="240" w:lineRule="auto"/>
              <w:jc w:val="center"/>
              <w:textAlignment w:val="center"/>
              <w:rPr>
                <w:rFonts w:eastAsia="Microsoft JhengHei UI" w:cstheme="minorHAnsi"/>
                <w:color w:val="000000"/>
                <w:kern w:val="24"/>
                <w:sz w:val="18"/>
                <w:szCs w:val="18"/>
              </w:rPr>
            </w:pPr>
            <w:r w:rsidRPr="00E36734">
              <w:t>50</w:t>
            </w:r>
          </w:p>
        </w:tc>
      </w:tr>
      <w:tr w:rsidR="00487FB4" w:rsidRPr="00E36734" w14:paraId="4E65009C" w14:textId="77777777" w:rsidTr="00BE7C9E">
        <w:trPr>
          <w:trHeight w:val="458"/>
        </w:trPr>
        <w:tc>
          <w:tcPr>
            <w:tcW w:w="3072" w:type="dxa"/>
            <w:shd w:val="clear" w:color="auto" w:fill="auto"/>
            <w:tcMar>
              <w:top w:w="12" w:type="dxa"/>
              <w:left w:w="12" w:type="dxa"/>
              <w:bottom w:w="0" w:type="dxa"/>
              <w:right w:w="12" w:type="dxa"/>
            </w:tcMar>
            <w:vAlign w:val="center"/>
            <w:hideMark/>
          </w:tcPr>
          <w:p w14:paraId="44C953B2" w14:textId="099264FC" w:rsidR="00487FB4" w:rsidRPr="00E36734" w:rsidRDefault="00BE7C9E" w:rsidP="00487FB4">
            <w:pPr>
              <w:spacing w:before="240" w:after="0" w:line="240" w:lineRule="auto"/>
              <w:jc w:val="center"/>
              <w:textAlignment w:val="bottom"/>
              <w:rPr>
                <w:rFonts w:eastAsia="Times New Roman" w:cstheme="minorHAnsi"/>
                <w:sz w:val="18"/>
                <w:szCs w:val="18"/>
                <w:lang w:val="en-US"/>
              </w:rPr>
            </w:pPr>
            <w:r w:rsidRPr="00E36734">
              <w:rPr>
                <w:rFonts w:eastAsia="Microsoft JhengHei UI" w:cstheme="minorHAnsi"/>
                <w:color w:val="000000"/>
                <w:kern w:val="24"/>
                <w:sz w:val="18"/>
                <w:szCs w:val="18"/>
              </w:rPr>
              <w:t>Ελάχιστα &amp; καθόλου πιθανό</w:t>
            </w:r>
          </w:p>
        </w:tc>
        <w:tc>
          <w:tcPr>
            <w:tcW w:w="1890" w:type="dxa"/>
            <w:shd w:val="clear" w:color="auto" w:fill="auto"/>
            <w:tcMar>
              <w:top w:w="12" w:type="dxa"/>
              <w:left w:w="12" w:type="dxa"/>
              <w:bottom w:w="0" w:type="dxa"/>
              <w:right w:w="12" w:type="dxa"/>
            </w:tcMar>
            <w:hideMark/>
          </w:tcPr>
          <w:p w14:paraId="7A9CA961" w14:textId="653916D5" w:rsidR="00487FB4" w:rsidRPr="00E36734" w:rsidRDefault="00BE7C9E" w:rsidP="00487FB4">
            <w:pPr>
              <w:spacing w:before="240" w:after="0" w:line="240" w:lineRule="auto"/>
              <w:jc w:val="center"/>
              <w:textAlignment w:val="center"/>
              <w:rPr>
                <w:rFonts w:eastAsia="Times New Roman" w:cstheme="minorHAnsi"/>
                <w:sz w:val="18"/>
                <w:szCs w:val="18"/>
                <w:lang w:val="en-US"/>
              </w:rPr>
            </w:pPr>
            <w:r w:rsidRPr="00E36734">
              <w:t>44,5</w:t>
            </w:r>
          </w:p>
        </w:tc>
        <w:tc>
          <w:tcPr>
            <w:tcW w:w="1890" w:type="dxa"/>
            <w:shd w:val="clear" w:color="auto" w:fill="auto"/>
            <w:tcMar>
              <w:top w:w="12" w:type="dxa"/>
              <w:left w:w="12" w:type="dxa"/>
              <w:bottom w:w="0" w:type="dxa"/>
              <w:right w:w="12" w:type="dxa"/>
            </w:tcMar>
            <w:hideMark/>
          </w:tcPr>
          <w:p w14:paraId="671AE6A5" w14:textId="0A72DB8D" w:rsidR="00487FB4" w:rsidRPr="00E36734" w:rsidRDefault="00BE7C9E" w:rsidP="00487FB4">
            <w:pPr>
              <w:spacing w:before="240" w:after="0" w:line="240" w:lineRule="auto"/>
              <w:jc w:val="center"/>
              <w:textAlignment w:val="center"/>
              <w:rPr>
                <w:rFonts w:eastAsia="Times New Roman" w:cstheme="minorHAnsi"/>
                <w:sz w:val="18"/>
                <w:szCs w:val="18"/>
                <w:lang w:val="en-US"/>
              </w:rPr>
            </w:pPr>
            <w:r w:rsidRPr="00E36734">
              <w:t>60,4</w:t>
            </w:r>
          </w:p>
        </w:tc>
        <w:tc>
          <w:tcPr>
            <w:tcW w:w="1890" w:type="dxa"/>
            <w:shd w:val="clear" w:color="auto" w:fill="auto"/>
            <w:tcMar>
              <w:top w:w="12" w:type="dxa"/>
              <w:left w:w="12" w:type="dxa"/>
              <w:bottom w:w="0" w:type="dxa"/>
              <w:right w:w="12" w:type="dxa"/>
            </w:tcMar>
            <w:hideMark/>
          </w:tcPr>
          <w:p w14:paraId="0E0F4440" w14:textId="726A201B" w:rsidR="00487FB4" w:rsidRPr="00E36734" w:rsidRDefault="00BE7C9E" w:rsidP="00487FB4">
            <w:pPr>
              <w:spacing w:before="240" w:after="0" w:line="240" w:lineRule="auto"/>
              <w:jc w:val="center"/>
              <w:textAlignment w:val="center"/>
              <w:rPr>
                <w:rFonts w:eastAsia="Times New Roman" w:cstheme="minorHAnsi"/>
                <w:sz w:val="18"/>
                <w:szCs w:val="18"/>
                <w:lang w:val="en-US"/>
              </w:rPr>
            </w:pPr>
            <w:r w:rsidRPr="00E36734">
              <w:t>70,5</w:t>
            </w:r>
          </w:p>
        </w:tc>
        <w:tc>
          <w:tcPr>
            <w:tcW w:w="1630" w:type="dxa"/>
            <w:shd w:val="clear" w:color="auto" w:fill="auto"/>
          </w:tcPr>
          <w:p w14:paraId="7ABA0BD6" w14:textId="3B2B082A" w:rsidR="00487FB4" w:rsidRPr="00E36734" w:rsidRDefault="00BE7C9E" w:rsidP="00487FB4">
            <w:pPr>
              <w:spacing w:before="240" w:after="0" w:line="240" w:lineRule="auto"/>
              <w:jc w:val="center"/>
              <w:textAlignment w:val="center"/>
              <w:rPr>
                <w:rFonts w:eastAsia="Microsoft JhengHei UI" w:cstheme="minorHAnsi"/>
                <w:color w:val="000000"/>
                <w:kern w:val="24"/>
                <w:sz w:val="18"/>
                <w:szCs w:val="18"/>
                <w:lang w:val="en-US"/>
              </w:rPr>
            </w:pPr>
            <w:r w:rsidRPr="00E36734">
              <w:t>45,6</w:t>
            </w:r>
          </w:p>
        </w:tc>
      </w:tr>
      <w:tr w:rsidR="00487FB4" w:rsidRPr="00E36734" w14:paraId="2870F2C3" w14:textId="77777777" w:rsidTr="00BE7C9E">
        <w:trPr>
          <w:trHeight w:val="458"/>
        </w:trPr>
        <w:tc>
          <w:tcPr>
            <w:tcW w:w="3072" w:type="dxa"/>
            <w:shd w:val="clear" w:color="auto" w:fill="auto"/>
            <w:tcMar>
              <w:top w:w="12" w:type="dxa"/>
              <w:left w:w="12" w:type="dxa"/>
              <w:bottom w:w="0" w:type="dxa"/>
              <w:right w:w="12" w:type="dxa"/>
            </w:tcMar>
            <w:vAlign w:val="center"/>
            <w:hideMark/>
          </w:tcPr>
          <w:p w14:paraId="4682CE32" w14:textId="77777777" w:rsidR="00487FB4" w:rsidRPr="00E36734" w:rsidRDefault="00487FB4" w:rsidP="00487FB4">
            <w:pPr>
              <w:spacing w:before="240" w:after="0" w:line="240" w:lineRule="auto"/>
              <w:jc w:val="center"/>
              <w:textAlignment w:val="bottom"/>
              <w:rPr>
                <w:rFonts w:eastAsia="Times New Roman" w:cstheme="minorHAnsi"/>
                <w:sz w:val="18"/>
                <w:szCs w:val="18"/>
                <w:lang w:val="en-US"/>
              </w:rPr>
            </w:pPr>
            <w:r w:rsidRPr="00E36734">
              <w:rPr>
                <w:rFonts w:eastAsia="Microsoft JhengHei UI" w:cstheme="minorHAnsi"/>
                <w:color w:val="000000"/>
                <w:kern w:val="24"/>
                <w:sz w:val="18"/>
                <w:szCs w:val="18"/>
              </w:rPr>
              <w:t>Δ.Ξ/Δ.Α</w:t>
            </w:r>
          </w:p>
        </w:tc>
        <w:tc>
          <w:tcPr>
            <w:tcW w:w="1890" w:type="dxa"/>
            <w:shd w:val="clear" w:color="auto" w:fill="auto"/>
            <w:tcMar>
              <w:top w:w="12" w:type="dxa"/>
              <w:left w:w="12" w:type="dxa"/>
              <w:bottom w:w="0" w:type="dxa"/>
              <w:right w:w="12" w:type="dxa"/>
            </w:tcMar>
            <w:hideMark/>
          </w:tcPr>
          <w:p w14:paraId="232D24B7" w14:textId="77777777" w:rsidR="00487FB4" w:rsidRPr="00E36734" w:rsidRDefault="00487FB4" w:rsidP="00487FB4">
            <w:pPr>
              <w:spacing w:before="240" w:after="0" w:line="240" w:lineRule="auto"/>
              <w:jc w:val="center"/>
              <w:textAlignment w:val="center"/>
              <w:rPr>
                <w:rFonts w:eastAsia="Times New Roman" w:cstheme="minorHAnsi"/>
                <w:sz w:val="18"/>
                <w:szCs w:val="18"/>
                <w:lang w:val="en-US"/>
              </w:rPr>
            </w:pPr>
            <w:r w:rsidRPr="00E36734">
              <w:t>1,6</w:t>
            </w:r>
          </w:p>
        </w:tc>
        <w:tc>
          <w:tcPr>
            <w:tcW w:w="1890" w:type="dxa"/>
            <w:shd w:val="clear" w:color="auto" w:fill="auto"/>
            <w:tcMar>
              <w:top w:w="12" w:type="dxa"/>
              <w:left w:w="12" w:type="dxa"/>
              <w:bottom w:w="0" w:type="dxa"/>
              <w:right w:w="12" w:type="dxa"/>
            </w:tcMar>
            <w:hideMark/>
          </w:tcPr>
          <w:p w14:paraId="15E63E13" w14:textId="77777777" w:rsidR="00487FB4" w:rsidRPr="00E36734" w:rsidRDefault="00487FB4" w:rsidP="00487FB4">
            <w:pPr>
              <w:spacing w:before="240" w:after="0" w:line="240" w:lineRule="auto"/>
              <w:jc w:val="center"/>
              <w:textAlignment w:val="center"/>
              <w:rPr>
                <w:rFonts w:eastAsia="Times New Roman" w:cstheme="minorHAnsi"/>
                <w:sz w:val="18"/>
                <w:szCs w:val="18"/>
                <w:lang w:val="en-US"/>
              </w:rPr>
            </w:pPr>
            <w:r w:rsidRPr="00E36734">
              <w:t>3,6</w:t>
            </w:r>
          </w:p>
        </w:tc>
        <w:tc>
          <w:tcPr>
            <w:tcW w:w="1890" w:type="dxa"/>
            <w:shd w:val="clear" w:color="auto" w:fill="auto"/>
            <w:tcMar>
              <w:top w:w="12" w:type="dxa"/>
              <w:left w:w="12" w:type="dxa"/>
              <w:bottom w:w="0" w:type="dxa"/>
              <w:right w:w="12" w:type="dxa"/>
            </w:tcMar>
            <w:hideMark/>
          </w:tcPr>
          <w:p w14:paraId="3CE81E38" w14:textId="04CC19EE" w:rsidR="00487FB4" w:rsidRPr="00E36734" w:rsidRDefault="00487FB4" w:rsidP="00487FB4">
            <w:pPr>
              <w:spacing w:before="240" w:after="0" w:line="240" w:lineRule="auto"/>
              <w:jc w:val="center"/>
              <w:textAlignment w:val="center"/>
              <w:rPr>
                <w:rFonts w:eastAsia="Times New Roman" w:cstheme="minorHAnsi"/>
                <w:sz w:val="18"/>
                <w:szCs w:val="18"/>
                <w:lang w:val="en-US"/>
              </w:rPr>
            </w:pPr>
            <w:r w:rsidRPr="00E36734">
              <w:t>2,</w:t>
            </w:r>
            <w:r w:rsidR="00BE7C9E" w:rsidRPr="00E36734">
              <w:t>7</w:t>
            </w:r>
          </w:p>
        </w:tc>
        <w:tc>
          <w:tcPr>
            <w:tcW w:w="1630" w:type="dxa"/>
            <w:shd w:val="clear" w:color="auto" w:fill="auto"/>
          </w:tcPr>
          <w:p w14:paraId="2FDC107A" w14:textId="7080C29B" w:rsidR="00487FB4" w:rsidRPr="00E36734" w:rsidRDefault="00BE7C9E" w:rsidP="00487FB4">
            <w:pPr>
              <w:spacing w:before="240" w:after="0" w:line="240" w:lineRule="auto"/>
              <w:jc w:val="center"/>
              <w:textAlignment w:val="center"/>
              <w:rPr>
                <w:rFonts w:eastAsia="Microsoft JhengHei UI" w:cstheme="minorHAnsi"/>
                <w:color w:val="000000"/>
                <w:kern w:val="24"/>
                <w:sz w:val="18"/>
                <w:szCs w:val="18"/>
                <w:lang w:val="en-US"/>
              </w:rPr>
            </w:pPr>
            <w:r w:rsidRPr="00E36734">
              <w:t>4,4</w:t>
            </w:r>
          </w:p>
        </w:tc>
      </w:tr>
    </w:tbl>
    <w:p w14:paraId="6411EC00" w14:textId="77777777" w:rsidR="00344F20" w:rsidRPr="00E36734" w:rsidRDefault="00344F20" w:rsidP="00143079">
      <w:pPr>
        <w:spacing w:after="0" w:line="360" w:lineRule="auto"/>
        <w:jc w:val="both"/>
        <w:rPr>
          <w:rFonts w:ascii="Times New Roman" w:eastAsia="Times New Roman" w:hAnsi="Times New Roman" w:cs="Times New Roman"/>
          <w:b/>
          <w:sz w:val="24"/>
          <w:szCs w:val="24"/>
          <w:lang w:eastAsia="el-GR"/>
        </w:rPr>
      </w:pPr>
    </w:p>
    <w:p w14:paraId="2FA1F178" w14:textId="77777777" w:rsidR="008D6CAD" w:rsidRPr="00E36734" w:rsidRDefault="008D6CAD" w:rsidP="00143079">
      <w:pPr>
        <w:spacing w:after="0" w:line="360" w:lineRule="auto"/>
        <w:jc w:val="both"/>
        <w:rPr>
          <w:rFonts w:ascii="Times New Roman" w:eastAsia="Times New Roman" w:hAnsi="Times New Roman" w:cs="Times New Roman"/>
          <w:b/>
          <w:sz w:val="24"/>
          <w:szCs w:val="24"/>
          <w:u w:val="single"/>
          <w:lang w:eastAsia="el-GR"/>
        </w:rPr>
      </w:pPr>
      <w:bookmarkStart w:id="28" w:name="_Hlk68090634"/>
    </w:p>
    <w:p w14:paraId="4A0E1002" w14:textId="77777777" w:rsidR="008D6CAD" w:rsidRPr="00E36734" w:rsidRDefault="008D6CAD" w:rsidP="00143079">
      <w:pPr>
        <w:spacing w:after="0" w:line="360" w:lineRule="auto"/>
        <w:jc w:val="both"/>
        <w:rPr>
          <w:rFonts w:ascii="Times New Roman" w:eastAsia="Times New Roman" w:hAnsi="Times New Roman" w:cs="Times New Roman"/>
          <w:b/>
          <w:sz w:val="24"/>
          <w:szCs w:val="24"/>
          <w:u w:val="single"/>
          <w:lang w:eastAsia="el-GR"/>
        </w:rPr>
      </w:pPr>
    </w:p>
    <w:p w14:paraId="5ACC5A4F" w14:textId="77777777" w:rsidR="008D6CAD" w:rsidRPr="00E36734" w:rsidRDefault="008D6CAD" w:rsidP="00143079">
      <w:pPr>
        <w:spacing w:after="0" w:line="360" w:lineRule="auto"/>
        <w:jc w:val="both"/>
        <w:rPr>
          <w:rFonts w:ascii="Times New Roman" w:eastAsia="Times New Roman" w:hAnsi="Times New Roman" w:cs="Times New Roman"/>
          <w:b/>
          <w:sz w:val="24"/>
          <w:szCs w:val="24"/>
          <w:u w:val="single"/>
          <w:lang w:eastAsia="el-GR"/>
        </w:rPr>
      </w:pPr>
    </w:p>
    <w:p w14:paraId="475457EF" w14:textId="1888FFDC" w:rsidR="00E445BB" w:rsidRPr="00E36734" w:rsidRDefault="00E445BB" w:rsidP="00143079">
      <w:pPr>
        <w:spacing w:after="0" w:line="360" w:lineRule="auto"/>
        <w:jc w:val="both"/>
        <w:rPr>
          <w:rFonts w:ascii="Times New Roman" w:eastAsia="Times New Roman" w:hAnsi="Times New Roman" w:cs="Times New Roman"/>
          <w:b/>
          <w:sz w:val="24"/>
          <w:szCs w:val="24"/>
          <w:u w:val="single"/>
          <w:lang w:eastAsia="el-GR"/>
        </w:rPr>
      </w:pPr>
      <w:r w:rsidRPr="00E36734">
        <w:rPr>
          <w:rFonts w:ascii="Times New Roman" w:eastAsia="Times New Roman" w:hAnsi="Times New Roman" w:cs="Times New Roman"/>
          <w:b/>
          <w:sz w:val="24"/>
          <w:szCs w:val="24"/>
          <w:u w:val="single"/>
          <w:lang w:eastAsia="el-GR"/>
        </w:rPr>
        <w:lastRenderedPageBreak/>
        <w:t>Μέτρα στήριξης της οικονομίας από τις επιπτώσεις της πανδημίας</w:t>
      </w:r>
    </w:p>
    <w:bookmarkEnd w:id="28"/>
    <w:p w14:paraId="7BD693C1" w14:textId="31864300" w:rsidR="00223FF0" w:rsidRPr="00E36734" w:rsidRDefault="009A4233" w:rsidP="00204FC2">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 xml:space="preserve">Όπως είναι επόμενο </w:t>
      </w:r>
      <w:r w:rsidR="00985D49" w:rsidRPr="00E36734">
        <w:rPr>
          <w:rFonts w:ascii="Times New Roman" w:eastAsia="Times New Roman" w:hAnsi="Times New Roman" w:cs="Times New Roman"/>
          <w:bCs/>
          <w:sz w:val="24"/>
          <w:szCs w:val="24"/>
          <w:lang w:eastAsia="el-GR"/>
        </w:rPr>
        <w:t xml:space="preserve">έχει γίνει </w:t>
      </w:r>
      <w:bookmarkStart w:id="29" w:name="_Hlk68090663"/>
      <w:r w:rsidR="00985D49" w:rsidRPr="00E36734">
        <w:rPr>
          <w:rFonts w:ascii="Times New Roman" w:eastAsia="Times New Roman" w:hAnsi="Times New Roman" w:cs="Times New Roman"/>
          <w:bCs/>
          <w:sz w:val="24"/>
          <w:szCs w:val="24"/>
          <w:lang w:eastAsia="el-GR"/>
        </w:rPr>
        <w:t xml:space="preserve">ευρεία χρήση από τις μικρές και πολύ μικρές επιχειρήσεις των μέτρων στήριξης που έχει λάβει η κυβέρνηση για την στήριξη της οικονομίας. Η συντριπτική πλειοψηφία των επιχειρήσεων (83,8%) αξιοποίησε τουλάχιστον 1 από τα μέτρα στήριξης της κυβέρνησης το προηγούμενο εξάμηνο. Επιπλέον 1 στις 3 επιχειρήσεις (33%) αξιοποίησαν το προηγούμενο εξάμηνο τουλάχιστον 3 από τα μέτρα στήριξης που έλαβε η κυβέρνηση. </w:t>
      </w:r>
    </w:p>
    <w:bookmarkEnd w:id="29"/>
    <w:p w14:paraId="7F81D149" w14:textId="5BD95F8C" w:rsidR="00985D49" w:rsidRPr="00E36734" w:rsidRDefault="00985D49" w:rsidP="00204FC2">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Για τις μικρές και πολύ μικρές επιχειρήσεις που απασχολούν προσωπικό η αναστολή συμβάσεων εργασίας αποτέλεσε το μέτρο που αξιοποίησαν περισσότερο</w:t>
      </w:r>
      <w:r w:rsidR="007E56A7" w:rsidRPr="00E36734">
        <w:rPr>
          <w:rFonts w:ascii="Times New Roman" w:eastAsia="Times New Roman" w:hAnsi="Times New Roman" w:cs="Times New Roman"/>
          <w:bCs/>
          <w:sz w:val="24"/>
          <w:szCs w:val="24"/>
          <w:lang w:eastAsia="el-GR"/>
        </w:rPr>
        <w:t xml:space="preserve"> μεταξύ εκείνων που υιοθετήθηκαν για τη συγκράτηση της απασχόλησης</w:t>
      </w:r>
      <w:r w:rsidRPr="00E36734">
        <w:rPr>
          <w:rFonts w:ascii="Times New Roman" w:eastAsia="Times New Roman" w:hAnsi="Times New Roman" w:cs="Times New Roman"/>
          <w:bCs/>
          <w:sz w:val="24"/>
          <w:szCs w:val="24"/>
          <w:lang w:eastAsia="el-GR"/>
        </w:rPr>
        <w:t>. Συγκεκριμένα περισσότερες από τις μισές μικρές και πολύ μικρές επιχειρήσεις (55,6%) που απασχολούν προσωπικό προχώρησαν σε αναστολή συμβάσεων εργασίας το Β εξάμηνο του 2020. Από τα υπόλοιπα μέτρα στήριξης της απασχόλησης το 13,3% έκανε χρήση του προγράμματος ΣΥΝ-ΕΡΓΑΣΙΑ, το 12,6% αξιοποίησε το καθεστώς της τηλεργασίας, ενώ το 4,3% και 3% αξιοποίησαν τα προγράμματα του ΟΑΕΔ για την δημιουργία νέων θέσεων εργασίας και του προγράμματος δημιουργίας 100.000 νέων θέσεων εργασίας αντίστοιχα</w:t>
      </w:r>
      <w:r w:rsidR="00B63BE3" w:rsidRPr="00E36734">
        <w:rPr>
          <w:rFonts w:ascii="Times New Roman" w:eastAsia="Times New Roman" w:hAnsi="Times New Roman" w:cs="Times New Roman"/>
          <w:bCs/>
          <w:sz w:val="24"/>
          <w:szCs w:val="24"/>
          <w:lang w:eastAsia="el-GR"/>
        </w:rPr>
        <w:t xml:space="preserve"> (Γράφημα 18</w:t>
      </w:r>
      <w:r w:rsidR="00B46D0E" w:rsidRPr="00E36734">
        <w:rPr>
          <w:rFonts w:ascii="Times New Roman" w:eastAsia="Times New Roman" w:hAnsi="Times New Roman" w:cs="Times New Roman"/>
          <w:bCs/>
          <w:sz w:val="24"/>
          <w:szCs w:val="24"/>
          <w:lang w:eastAsia="el-GR"/>
        </w:rPr>
        <w:t>)</w:t>
      </w:r>
      <w:r w:rsidRPr="00E36734">
        <w:rPr>
          <w:rFonts w:ascii="Times New Roman" w:eastAsia="Times New Roman" w:hAnsi="Times New Roman" w:cs="Times New Roman"/>
          <w:bCs/>
          <w:sz w:val="24"/>
          <w:szCs w:val="24"/>
          <w:lang w:eastAsia="el-GR"/>
        </w:rPr>
        <w:t xml:space="preserve">. </w:t>
      </w:r>
    </w:p>
    <w:p w14:paraId="138A354B" w14:textId="77777777" w:rsidR="00CC546C" w:rsidRPr="00E36734" w:rsidRDefault="00CC546C" w:rsidP="00204FC2">
      <w:pPr>
        <w:spacing w:after="0" w:line="360" w:lineRule="auto"/>
        <w:jc w:val="both"/>
        <w:rPr>
          <w:rFonts w:ascii="Times New Roman" w:eastAsia="Times New Roman" w:hAnsi="Times New Roman" w:cs="Times New Roman"/>
          <w:bCs/>
          <w:sz w:val="24"/>
          <w:szCs w:val="24"/>
          <w:lang w:eastAsia="el-GR"/>
        </w:rPr>
      </w:pPr>
    </w:p>
    <w:p w14:paraId="0450C847" w14:textId="72D84CB5" w:rsidR="00223FF0" w:rsidRPr="00E36734" w:rsidRDefault="00B63BE3" w:rsidP="00223FF0">
      <w:pPr>
        <w:spacing w:after="0" w:line="360" w:lineRule="auto"/>
        <w:jc w:val="center"/>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sz w:val="24"/>
          <w:szCs w:val="24"/>
          <w:lang w:eastAsia="el-GR"/>
        </w:rPr>
        <w:t>Γράφημα 18</w:t>
      </w:r>
    </w:p>
    <w:p w14:paraId="0224E484" w14:textId="77777777" w:rsidR="00985D49" w:rsidRPr="00E36734" w:rsidRDefault="00985D49" w:rsidP="00985D49">
      <w:pPr>
        <w:spacing w:after="0" w:line="360" w:lineRule="auto"/>
        <w:jc w:val="center"/>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sz w:val="24"/>
          <w:szCs w:val="24"/>
          <w:lang w:eastAsia="el-GR"/>
        </w:rPr>
        <w:t xml:space="preserve">Το προηγούμενο εξάμηνο και λόγω των συνθηκών που διαμόρφωσε η υγειονομική κρίση: </w:t>
      </w:r>
      <w:r w:rsidRPr="00E36734">
        <w:rPr>
          <w:rFonts w:ascii="Times New Roman" w:eastAsia="Times New Roman" w:hAnsi="Times New Roman" w:cs="Times New Roman"/>
          <w:b/>
          <w:sz w:val="24"/>
          <w:szCs w:val="24"/>
          <w:lang w:eastAsia="el-GR"/>
        </w:rPr>
        <w:br/>
        <w:t>-ΒΑΣΗ: Όσοι έχουν δηλώσει ότι απασχολούν αμειβόμενο προσωπικό-</w:t>
      </w:r>
    </w:p>
    <w:p w14:paraId="5C5F526D" w14:textId="77777777" w:rsidR="00985D49" w:rsidRPr="00E36734" w:rsidRDefault="00985D49" w:rsidP="00985D49">
      <w:pPr>
        <w:spacing w:after="0" w:line="360" w:lineRule="auto"/>
        <w:jc w:val="both"/>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noProof/>
          <w:sz w:val="24"/>
          <w:szCs w:val="24"/>
          <w:lang w:eastAsia="el-GR"/>
        </w:rPr>
        <w:drawing>
          <wp:inline distT="0" distB="0" distL="0" distR="0" wp14:anchorId="5E60C2DE" wp14:editId="4120B928">
            <wp:extent cx="6570980" cy="3131820"/>
            <wp:effectExtent l="0" t="0" r="1270" b="11430"/>
            <wp:docPr id="17" name="Γράφημα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B05A48D" w14:textId="77777777" w:rsidR="00CC546C" w:rsidRPr="00E36734" w:rsidRDefault="00CC546C" w:rsidP="00C06B19">
      <w:pPr>
        <w:spacing w:after="0" w:line="360" w:lineRule="auto"/>
        <w:jc w:val="both"/>
        <w:rPr>
          <w:rFonts w:ascii="Times New Roman" w:eastAsia="Times New Roman" w:hAnsi="Times New Roman" w:cs="Times New Roman"/>
          <w:b/>
          <w:sz w:val="24"/>
          <w:szCs w:val="24"/>
          <w:lang w:eastAsia="el-GR"/>
        </w:rPr>
      </w:pPr>
    </w:p>
    <w:p w14:paraId="23A3F3D3" w14:textId="5CACDA1A" w:rsidR="00985D49" w:rsidRPr="00E36734" w:rsidRDefault="00985D49" w:rsidP="00C06B19">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 xml:space="preserve">Στο σύνολο των επιχειρήσεων, </w:t>
      </w:r>
      <w:r w:rsidR="00C06B19" w:rsidRPr="00E36734">
        <w:rPr>
          <w:rFonts w:ascii="Times New Roman" w:eastAsia="Times New Roman" w:hAnsi="Times New Roman" w:cs="Times New Roman"/>
          <w:bCs/>
          <w:sz w:val="24"/>
          <w:szCs w:val="24"/>
          <w:lang w:eastAsia="el-GR"/>
        </w:rPr>
        <w:t xml:space="preserve">τη μεγαλύτερη απήχηση φαίνεται πως είχαν οι επιστρεπτέες προκαταβολές που αποτελούν άλλωστε και το σημαντικότερο χρηματοδοτικό εργαλείο ενίσχυσης της ρευστότητας ειδικά </w:t>
      </w:r>
      <w:r w:rsidR="00C06B19" w:rsidRPr="00E36734">
        <w:rPr>
          <w:rFonts w:ascii="Times New Roman" w:eastAsia="Times New Roman" w:hAnsi="Times New Roman" w:cs="Times New Roman"/>
          <w:bCs/>
          <w:sz w:val="24"/>
          <w:szCs w:val="24"/>
          <w:lang w:eastAsia="el-GR"/>
        </w:rPr>
        <w:lastRenderedPageBreak/>
        <w:t>για τις μικρές και πολύ μικρές επιχειρήσεις που διαχρονικά είναι «αποκλεισμένες» από το χρηματοπιστωτικό σύστημα. Συγκεκριμένα</w:t>
      </w:r>
      <w:r w:rsidR="00B46D0E" w:rsidRPr="00E36734">
        <w:rPr>
          <w:rFonts w:ascii="Times New Roman" w:eastAsia="Times New Roman" w:hAnsi="Times New Roman" w:cs="Times New Roman"/>
          <w:bCs/>
          <w:sz w:val="24"/>
          <w:szCs w:val="24"/>
          <w:lang w:eastAsia="el-GR"/>
        </w:rPr>
        <w:t>,</w:t>
      </w:r>
      <w:r w:rsidR="00C06B19" w:rsidRPr="00E36734">
        <w:rPr>
          <w:rFonts w:ascii="Times New Roman" w:eastAsia="Times New Roman" w:hAnsi="Times New Roman" w:cs="Times New Roman"/>
          <w:bCs/>
          <w:sz w:val="24"/>
          <w:szCs w:val="24"/>
          <w:lang w:eastAsia="el-GR"/>
        </w:rPr>
        <w:t xml:space="preserve"> </w:t>
      </w:r>
      <w:bookmarkStart w:id="30" w:name="_Hlk68090924"/>
      <w:r w:rsidR="00C06B19" w:rsidRPr="00E36734">
        <w:rPr>
          <w:rFonts w:ascii="Times New Roman" w:eastAsia="Times New Roman" w:hAnsi="Times New Roman" w:cs="Times New Roman"/>
          <w:bCs/>
          <w:sz w:val="24"/>
          <w:szCs w:val="24"/>
          <w:lang w:eastAsia="el-GR"/>
        </w:rPr>
        <w:t>περισσότερες από 6 στις 10 επιχειρήσεις (63,7%) έκαναν χρήση των επιστρεπτέων προκαταβολών το προηγούμενο εξάμηνο και ακολουθούν οι ρυθμίσεις για την μείωση ενοικίου (38,8%), η αναστολή των φορολογικών υποχρεώσεων (22,5%) και η αναστολή πληρωμής επιταγών (9,5%)</w:t>
      </w:r>
      <w:r w:rsidR="00B46D0E" w:rsidRPr="00E36734">
        <w:rPr>
          <w:rFonts w:ascii="Times New Roman" w:eastAsia="Times New Roman" w:hAnsi="Times New Roman" w:cs="Times New Roman"/>
          <w:bCs/>
          <w:sz w:val="24"/>
          <w:szCs w:val="24"/>
          <w:lang w:eastAsia="el-GR"/>
        </w:rPr>
        <w:t xml:space="preserve"> </w:t>
      </w:r>
      <w:bookmarkEnd w:id="30"/>
      <w:r w:rsidR="00B63BE3" w:rsidRPr="00E36734">
        <w:rPr>
          <w:rFonts w:ascii="Times New Roman" w:eastAsia="Times New Roman" w:hAnsi="Times New Roman" w:cs="Times New Roman"/>
          <w:bCs/>
          <w:sz w:val="24"/>
          <w:szCs w:val="24"/>
          <w:lang w:eastAsia="el-GR"/>
        </w:rPr>
        <w:t>(Γράφημα 19</w:t>
      </w:r>
      <w:r w:rsidR="00B46D0E" w:rsidRPr="00E36734">
        <w:rPr>
          <w:rFonts w:ascii="Times New Roman" w:eastAsia="Times New Roman" w:hAnsi="Times New Roman" w:cs="Times New Roman"/>
          <w:bCs/>
          <w:sz w:val="24"/>
          <w:szCs w:val="24"/>
          <w:lang w:eastAsia="el-GR"/>
        </w:rPr>
        <w:t>)</w:t>
      </w:r>
      <w:r w:rsidR="00C06B19" w:rsidRPr="00E36734">
        <w:rPr>
          <w:rFonts w:ascii="Times New Roman" w:eastAsia="Times New Roman" w:hAnsi="Times New Roman" w:cs="Times New Roman"/>
          <w:bCs/>
          <w:sz w:val="24"/>
          <w:szCs w:val="24"/>
          <w:lang w:eastAsia="el-GR"/>
        </w:rPr>
        <w:t>.</w:t>
      </w:r>
    </w:p>
    <w:p w14:paraId="7409E4F2" w14:textId="5D4E2B45" w:rsidR="00985D49" w:rsidRPr="00E36734" w:rsidRDefault="00B63BE3" w:rsidP="00B46D0E">
      <w:pPr>
        <w:spacing w:after="0" w:line="360" w:lineRule="auto"/>
        <w:jc w:val="center"/>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sz w:val="24"/>
          <w:szCs w:val="24"/>
          <w:lang w:eastAsia="el-GR"/>
        </w:rPr>
        <w:t>Γράφημα 19</w:t>
      </w:r>
    </w:p>
    <w:p w14:paraId="659FC41D" w14:textId="39119EE7" w:rsidR="00E445BB" w:rsidRPr="00E36734" w:rsidRDefault="00223FF0" w:rsidP="00223FF0">
      <w:pPr>
        <w:spacing w:after="0" w:line="360" w:lineRule="auto"/>
        <w:jc w:val="center"/>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sz w:val="24"/>
          <w:szCs w:val="24"/>
          <w:lang w:eastAsia="el-GR"/>
        </w:rPr>
        <w:t xml:space="preserve">Ποια από τα παρακάτω μέτρα στήριξης που έλαβε η κυβέρνηση </w:t>
      </w:r>
      <w:r w:rsidRPr="00E36734">
        <w:rPr>
          <w:rFonts w:ascii="Times New Roman" w:eastAsia="Times New Roman" w:hAnsi="Times New Roman" w:cs="Times New Roman"/>
          <w:b/>
          <w:sz w:val="24"/>
          <w:szCs w:val="24"/>
          <w:lang w:eastAsia="el-GR"/>
        </w:rPr>
        <w:br/>
        <w:t>κάνατε χρήση το προηγούμενο εξάμηνο:</w:t>
      </w:r>
    </w:p>
    <w:p w14:paraId="7C7A4E0A" w14:textId="70AD7B38" w:rsidR="00E445BB" w:rsidRPr="00E36734" w:rsidRDefault="00E445BB" w:rsidP="00143079">
      <w:pPr>
        <w:spacing w:after="0" w:line="360" w:lineRule="auto"/>
        <w:jc w:val="both"/>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noProof/>
          <w:sz w:val="24"/>
          <w:szCs w:val="24"/>
          <w:lang w:eastAsia="el-GR"/>
        </w:rPr>
        <w:drawing>
          <wp:inline distT="0" distB="0" distL="0" distR="0" wp14:anchorId="4A5D11E6" wp14:editId="2A200C75">
            <wp:extent cx="6570980" cy="3034665"/>
            <wp:effectExtent l="0" t="0" r="1270" b="13335"/>
            <wp:docPr id="16" name="Γράφημα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C506DDF" w14:textId="77777777" w:rsidR="00E445BB" w:rsidRPr="00E36734" w:rsidRDefault="00E445BB" w:rsidP="00143079">
      <w:pPr>
        <w:spacing w:after="0" w:line="360" w:lineRule="auto"/>
        <w:jc w:val="both"/>
        <w:rPr>
          <w:rFonts w:ascii="Times New Roman" w:eastAsia="Times New Roman" w:hAnsi="Times New Roman" w:cs="Times New Roman"/>
          <w:b/>
          <w:sz w:val="24"/>
          <w:szCs w:val="24"/>
          <w:lang w:eastAsia="el-GR"/>
        </w:rPr>
      </w:pPr>
    </w:p>
    <w:p w14:paraId="12508000" w14:textId="1F015349" w:rsidR="00E445BB" w:rsidRPr="00E36734" w:rsidRDefault="00884AC9" w:rsidP="00143079">
      <w:pPr>
        <w:spacing w:after="0" w:line="360" w:lineRule="auto"/>
        <w:jc w:val="both"/>
        <w:rPr>
          <w:rFonts w:ascii="Times New Roman" w:eastAsia="Times New Roman" w:hAnsi="Times New Roman" w:cs="Times New Roman"/>
          <w:bCs/>
          <w:sz w:val="24"/>
          <w:szCs w:val="24"/>
          <w:lang w:eastAsia="el-GR"/>
        </w:rPr>
      </w:pPr>
      <w:bookmarkStart w:id="31" w:name="_Hlk68090840"/>
      <w:r w:rsidRPr="00E36734">
        <w:rPr>
          <w:rFonts w:ascii="Times New Roman" w:eastAsia="Times New Roman" w:hAnsi="Times New Roman" w:cs="Times New Roman"/>
          <w:bCs/>
          <w:sz w:val="24"/>
          <w:szCs w:val="24"/>
          <w:lang w:eastAsia="el-GR"/>
        </w:rPr>
        <w:t xml:space="preserve">Οι επιστρεπτέες προκαταβολές θεωρούνται από το μεγαλύτερο μέρος των μικρών και πολύ μικρών επιχειρήσεων ως το σημαντικότερο μέτρο για την </w:t>
      </w:r>
      <w:r w:rsidR="003A31D9" w:rsidRPr="00E36734">
        <w:rPr>
          <w:rFonts w:ascii="Times New Roman" w:eastAsia="Times New Roman" w:hAnsi="Times New Roman" w:cs="Times New Roman"/>
          <w:bCs/>
          <w:sz w:val="24"/>
          <w:szCs w:val="24"/>
          <w:lang w:eastAsia="el-GR"/>
        </w:rPr>
        <w:t>ενίσχυση</w:t>
      </w:r>
      <w:r w:rsidRPr="00E36734">
        <w:rPr>
          <w:rFonts w:ascii="Times New Roman" w:eastAsia="Times New Roman" w:hAnsi="Times New Roman" w:cs="Times New Roman"/>
          <w:bCs/>
          <w:sz w:val="24"/>
          <w:szCs w:val="24"/>
          <w:lang w:eastAsia="el-GR"/>
        </w:rPr>
        <w:t xml:space="preserve"> τους. Συγκεκριμένα σχεδόν 4 στις 10 μικρές και πολύ μικρές </w:t>
      </w:r>
      <w:r w:rsidR="003A31D9" w:rsidRPr="00E36734">
        <w:rPr>
          <w:rFonts w:ascii="Times New Roman" w:eastAsia="Times New Roman" w:hAnsi="Times New Roman" w:cs="Times New Roman"/>
          <w:bCs/>
          <w:sz w:val="24"/>
          <w:szCs w:val="24"/>
          <w:lang w:eastAsia="el-GR"/>
        </w:rPr>
        <w:t>επιχειρήσεις</w:t>
      </w:r>
      <w:r w:rsidRPr="00E36734">
        <w:rPr>
          <w:rFonts w:ascii="Times New Roman" w:eastAsia="Times New Roman" w:hAnsi="Times New Roman" w:cs="Times New Roman"/>
          <w:bCs/>
          <w:sz w:val="24"/>
          <w:szCs w:val="24"/>
          <w:lang w:eastAsia="el-GR"/>
        </w:rPr>
        <w:t xml:space="preserve"> ( 37,8%) θεωρούν πως </w:t>
      </w:r>
      <w:r w:rsidR="003A31D9" w:rsidRPr="00E36734">
        <w:rPr>
          <w:rFonts w:ascii="Times New Roman" w:eastAsia="Times New Roman" w:hAnsi="Times New Roman" w:cs="Times New Roman"/>
          <w:bCs/>
          <w:sz w:val="24"/>
          <w:szCs w:val="24"/>
          <w:lang w:eastAsia="el-GR"/>
        </w:rPr>
        <w:t xml:space="preserve">οι επιστρεπτέες προκαταβολές είναι το σημαντικότερο μέτρο στήριξής τους και ακολουθούν η μείωση/απαλλαγή ενοικίου (14,6%) η αναστολή φορολογικών/ασφαλιστικών υποχρεώσεων (13,6%), η αναστολή συμβάσεων εργασίας (8%) η τραπεζική δανειοδότηση με την εγγύηση του ελληνικού δημοσίου (8%), η αναστολή πληρωμής επιταγών για 75 ημέρες (2,2%) ενώ τελευταία κατατάσσονται τα προγράμματα δημιουργίας νέων θέσεων εργασίας του ΟΑΕΔ (1,2%), </w:t>
      </w:r>
      <w:r w:rsidRPr="00E36734">
        <w:rPr>
          <w:rFonts w:ascii="Times New Roman" w:eastAsia="Times New Roman" w:hAnsi="Times New Roman" w:cs="Times New Roman"/>
          <w:bCs/>
          <w:sz w:val="24"/>
          <w:szCs w:val="24"/>
          <w:lang w:eastAsia="el-GR"/>
        </w:rPr>
        <w:t xml:space="preserve"> </w:t>
      </w:r>
      <w:r w:rsidR="003A31D9" w:rsidRPr="00E36734">
        <w:rPr>
          <w:rFonts w:ascii="Times New Roman" w:eastAsia="Times New Roman" w:hAnsi="Times New Roman" w:cs="Times New Roman"/>
          <w:bCs/>
          <w:sz w:val="24"/>
          <w:szCs w:val="24"/>
          <w:lang w:eastAsia="el-GR"/>
        </w:rPr>
        <w:t>το πρόγραμμα δημιουργίας 100.000 θέσεων εργασίας (0,9%) και το πρόγραμμα ΣΥΝ-ΕΡΓΑΣΙΑ (0,3%)</w:t>
      </w:r>
      <w:bookmarkEnd w:id="31"/>
      <w:r w:rsidR="00B46D0E" w:rsidRPr="00E36734">
        <w:rPr>
          <w:rFonts w:ascii="Times New Roman" w:eastAsia="Times New Roman" w:hAnsi="Times New Roman" w:cs="Times New Roman"/>
          <w:bCs/>
          <w:sz w:val="24"/>
          <w:szCs w:val="24"/>
          <w:lang w:eastAsia="el-GR"/>
        </w:rPr>
        <w:t xml:space="preserve"> (Γράφημα </w:t>
      </w:r>
      <w:r w:rsidR="00B63BE3" w:rsidRPr="00E36734">
        <w:rPr>
          <w:rFonts w:ascii="Times New Roman" w:eastAsia="Times New Roman" w:hAnsi="Times New Roman" w:cs="Times New Roman"/>
          <w:bCs/>
          <w:sz w:val="24"/>
          <w:szCs w:val="24"/>
          <w:lang w:eastAsia="el-GR"/>
        </w:rPr>
        <w:t>20</w:t>
      </w:r>
      <w:r w:rsidR="00B46D0E" w:rsidRPr="00E36734">
        <w:rPr>
          <w:rFonts w:ascii="Times New Roman" w:eastAsia="Times New Roman" w:hAnsi="Times New Roman" w:cs="Times New Roman"/>
          <w:bCs/>
          <w:sz w:val="24"/>
          <w:szCs w:val="24"/>
          <w:lang w:eastAsia="el-GR"/>
        </w:rPr>
        <w:t>)</w:t>
      </w:r>
      <w:r w:rsidR="003A31D9" w:rsidRPr="00E36734">
        <w:rPr>
          <w:rFonts w:ascii="Times New Roman" w:eastAsia="Times New Roman" w:hAnsi="Times New Roman" w:cs="Times New Roman"/>
          <w:bCs/>
          <w:sz w:val="24"/>
          <w:szCs w:val="24"/>
          <w:lang w:eastAsia="el-GR"/>
        </w:rPr>
        <w:t>.</w:t>
      </w:r>
    </w:p>
    <w:p w14:paraId="22B1CD98" w14:textId="77777777" w:rsidR="00E445BB" w:rsidRPr="00E36734" w:rsidRDefault="00E445BB" w:rsidP="00143079">
      <w:pPr>
        <w:spacing w:after="0" w:line="360" w:lineRule="auto"/>
        <w:jc w:val="both"/>
        <w:rPr>
          <w:rFonts w:ascii="Times New Roman" w:eastAsia="Times New Roman" w:hAnsi="Times New Roman" w:cs="Times New Roman"/>
          <w:bCs/>
          <w:sz w:val="24"/>
          <w:szCs w:val="24"/>
          <w:lang w:eastAsia="el-GR"/>
        </w:rPr>
      </w:pPr>
    </w:p>
    <w:p w14:paraId="35218B66" w14:textId="6CB17C29" w:rsidR="00E445BB" w:rsidRPr="00E36734" w:rsidRDefault="00E445BB" w:rsidP="00143079">
      <w:pPr>
        <w:spacing w:after="0" w:line="360" w:lineRule="auto"/>
        <w:jc w:val="both"/>
        <w:rPr>
          <w:rFonts w:ascii="Times New Roman" w:eastAsia="Times New Roman" w:hAnsi="Times New Roman" w:cs="Times New Roman"/>
          <w:b/>
          <w:sz w:val="24"/>
          <w:szCs w:val="24"/>
          <w:lang w:eastAsia="el-GR"/>
        </w:rPr>
      </w:pPr>
    </w:p>
    <w:p w14:paraId="6FF52D93" w14:textId="2BE243D5" w:rsidR="008D6CAD" w:rsidRPr="00E36734" w:rsidRDefault="008D6CAD" w:rsidP="00143079">
      <w:pPr>
        <w:spacing w:after="0" w:line="360" w:lineRule="auto"/>
        <w:jc w:val="both"/>
        <w:rPr>
          <w:rFonts w:ascii="Times New Roman" w:eastAsia="Times New Roman" w:hAnsi="Times New Roman" w:cs="Times New Roman"/>
          <w:b/>
          <w:sz w:val="24"/>
          <w:szCs w:val="24"/>
          <w:lang w:eastAsia="el-GR"/>
        </w:rPr>
      </w:pPr>
    </w:p>
    <w:p w14:paraId="22511DB8" w14:textId="77777777" w:rsidR="008D6CAD" w:rsidRPr="00E36734" w:rsidRDefault="008D6CAD" w:rsidP="00143079">
      <w:pPr>
        <w:spacing w:after="0" w:line="360" w:lineRule="auto"/>
        <w:jc w:val="both"/>
        <w:rPr>
          <w:rFonts w:ascii="Times New Roman" w:eastAsia="Times New Roman" w:hAnsi="Times New Roman" w:cs="Times New Roman"/>
          <w:b/>
          <w:sz w:val="24"/>
          <w:szCs w:val="24"/>
          <w:lang w:eastAsia="el-GR"/>
        </w:rPr>
      </w:pPr>
    </w:p>
    <w:p w14:paraId="327A5A43" w14:textId="4AEB813B" w:rsidR="00B46D0E" w:rsidRPr="00E36734" w:rsidRDefault="00B63BE3" w:rsidP="00884AC9">
      <w:pPr>
        <w:spacing w:after="0" w:line="360" w:lineRule="auto"/>
        <w:jc w:val="center"/>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sz w:val="24"/>
          <w:szCs w:val="24"/>
          <w:lang w:eastAsia="el-GR"/>
        </w:rPr>
        <w:lastRenderedPageBreak/>
        <w:t>Γράφημα 20</w:t>
      </w:r>
    </w:p>
    <w:p w14:paraId="509F68EA" w14:textId="0BEA3184" w:rsidR="00E445BB" w:rsidRPr="00E36734" w:rsidRDefault="00884AC9" w:rsidP="00884AC9">
      <w:pPr>
        <w:spacing w:after="0" w:line="360" w:lineRule="auto"/>
        <w:jc w:val="center"/>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sz w:val="24"/>
          <w:szCs w:val="24"/>
          <w:lang w:eastAsia="el-GR"/>
        </w:rPr>
        <w:t xml:space="preserve">Ποια από τα παρακάτω μέτρα στήριξης που έχει λάβει η κυβέρνηση είναι κατά την γνώμη σας  </w:t>
      </w:r>
      <w:r w:rsidRPr="00E36734">
        <w:rPr>
          <w:rFonts w:ascii="Times New Roman" w:eastAsia="Times New Roman" w:hAnsi="Times New Roman" w:cs="Times New Roman"/>
          <w:b/>
          <w:sz w:val="24"/>
          <w:szCs w:val="24"/>
          <w:lang w:eastAsia="el-GR"/>
        </w:rPr>
        <w:br/>
        <w:t>το σημαντικότερο για την ενίσχυση των επιχειρήσεων;</w:t>
      </w:r>
    </w:p>
    <w:p w14:paraId="302D5EE1" w14:textId="6393E61E" w:rsidR="00E445BB" w:rsidRPr="00E36734" w:rsidRDefault="00C06B19" w:rsidP="00143079">
      <w:pPr>
        <w:spacing w:after="0" w:line="360" w:lineRule="auto"/>
        <w:jc w:val="both"/>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noProof/>
          <w:sz w:val="24"/>
          <w:szCs w:val="24"/>
          <w:lang w:eastAsia="el-GR"/>
        </w:rPr>
        <w:drawing>
          <wp:inline distT="0" distB="0" distL="0" distR="0" wp14:anchorId="22AED99E" wp14:editId="4697F085">
            <wp:extent cx="6570980" cy="3634740"/>
            <wp:effectExtent l="0" t="0" r="1270" b="3810"/>
            <wp:docPr id="19" name="Γράφημα 19">
              <a:extLst xmlns:a="http://schemas.openxmlformats.org/drawingml/2006/main">
                <a:ext uri="{FF2B5EF4-FFF2-40B4-BE49-F238E27FC236}">
                  <a16:creationId xmlns:a16="http://schemas.microsoft.com/office/drawing/2014/main" id="{CD2B5132-1EA9-4FAD-879F-3794F2E05B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5306AB5" w14:textId="77777777" w:rsidR="00CC546C" w:rsidRPr="00E36734" w:rsidRDefault="00CC546C" w:rsidP="00143079">
      <w:pPr>
        <w:spacing w:after="0" w:line="360" w:lineRule="auto"/>
        <w:jc w:val="both"/>
        <w:rPr>
          <w:rFonts w:ascii="Times New Roman" w:eastAsia="Times New Roman" w:hAnsi="Times New Roman" w:cs="Times New Roman"/>
          <w:b/>
          <w:sz w:val="24"/>
          <w:szCs w:val="24"/>
          <w:lang w:eastAsia="el-GR"/>
        </w:rPr>
      </w:pPr>
    </w:p>
    <w:p w14:paraId="77602D88" w14:textId="6D7A8601" w:rsidR="00B46D0E" w:rsidRPr="00E36734" w:rsidRDefault="00B46D0E" w:rsidP="00143079">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Ειδικότερα για τις επιστρεπτέες προκαταβολές, σχεδόν 2 στις 10 μικρές και πολύ μικρές επιχειρήσεις (18,4%) έλαβαν οικονομική ενίσχυση ύψους έως 1000 €, το 12,4% από 1001-2000€, το 8% από 2001-3000€, το 9,2% από 3001-4000€, το 6,1% από 4001-5000€, το 5,3% από 5001-7000€, το 8,8% από 7001-10000€, το 9,9% από 10001-20000€, το 7,3% από 20001-50000 και το 7,1% πάνω από 50000.</w:t>
      </w:r>
    </w:p>
    <w:p w14:paraId="3FE32EF2" w14:textId="1306839B" w:rsidR="00B46D0E" w:rsidRPr="00E36734" w:rsidRDefault="00B63BE3" w:rsidP="00B46D0E">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Όπως φαίνεται στο Γράφημα 21</w:t>
      </w:r>
      <w:r w:rsidR="00B46D0E" w:rsidRPr="00E36734">
        <w:rPr>
          <w:rFonts w:ascii="Times New Roman" w:eastAsia="Times New Roman" w:hAnsi="Times New Roman" w:cs="Times New Roman"/>
          <w:bCs/>
          <w:sz w:val="24"/>
          <w:szCs w:val="24"/>
          <w:lang w:eastAsia="el-GR"/>
        </w:rPr>
        <w:t xml:space="preserve"> </w:t>
      </w:r>
      <w:bookmarkStart w:id="32" w:name="_Hlk68090874"/>
      <w:r w:rsidR="007252E8" w:rsidRPr="00E36734">
        <w:rPr>
          <w:rFonts w:ascii="Times New Roman" w:eastAsia="Times New Roman" w:hAnsi="Times New Roman" w:cs="Times New Roman"/>
          <w:bCs/>
          <w:sz w:val="24"/>
          <w:szCs w:val="24"/>
          <w:lang w:eastAsia="el-GR"/>
        </w:rPr>
        <w:t>περισσότερες από τις μισές</w:t>
      </w:r>
      <w:r w:rsidR="00B46D0E" w:rsidRPr="00E36734">
        <w:rPr>
          <w:rFonts w:ascii="Times New Roman" w:eastAsia="Times New Roman" w:hAnsi="Times New Roman" w:cs="Times New Roman"/>
          <w:bCs/>
          <w:sz w:val="24"/>
          <w:szCs w:val="24"/>
          <w:lang w:eastAsia="el-GR"/>
        </w:rPr>
        <w:t xml:space="preserve"> επιχειρήσεις (</w:t>
      </w:r>
      <w:r w:rsidR="007252E8" w:rsidRPr="00E36734">
        <w:rPr>
          <w:rFonts w:ascii="Times New Roman" w:eastAsia="Times New Roman" w:hAnsi="Times New Roman" w:cs="Times New Roman"/>
          <w:bCs/>
          <w:sz w:val="24"/>
          <w:szCs w:val="24"/>
          <w:lang w:eastAsia="el-GR"/>
        </w:rPr>
        <w:t>54,1</w:t>
      </w:r>
      <w:r w:rsidR="00B46D0E" w:rsidRPr="00E36734">
        <w:rPr>
          <w:rFonts w:ascii="Times New Roman" w:eastAsia="Times New Roman" w:hAnsi="Times New Roman" w:cs="Times New Roman"/>
          <w:bCs/>
          <w:sz w:val="24"/>
          <w:szCs w:val="24"/>
          <w:lang w:eastAsia="el-GR"/>
        </w:rPr>
        <w:t xml:space="preserve">%) έλαβαν χρηματοδότηση ύψους έως </w:t>
      </w:r>
      <w:r w:rsidR="007252E8" w:rsidRPr="00E36734">
        <w:rPr>
          <w:rFonts w:ascii="Times New Roman" w:eastAsia="Times New Roman" w:hAnsi="Times New Roman" w:cs="Times New Roman"/>
          <w:bCs/>
          <w:sz w:val="24"/>
          <w:szCs w:val="24"/>
          <w:lang w:eastAsia="el-GR"/>
        </w:rPr>
        <w:t>5</w:t>
      </w:r>
      <w:r w:rsidR="00B46D0E" w:rsidRPr="00E36734">
        <w:rPr>
          <w:rFonts w:ascii="Times New Roman" w:eastAsia="Times New Roman" w:hAnsi="Times New Roman" w:cs="Times New Roman"/>
          <w:bCs/>
          <w:sz w:val="24"/>
          <w:szCs w:val="24"/>
          <w:lang w:eastAsia="el-GR"/>
        </w:rPr>
        <w:t xml:space="preserve">.000 €, ενώ ο </w:t>
      </w:r>
      <w:r w:rsidR="00B46D0E" w:rsidRPr="00E36734">
        <w:rPr>
          <w:rFonts w:ascii="Times New Roman" w:eastAsia="Times New Roman" w:hAnsi="Times New Roman" w:cs="Times New Roman"/>
          <w:bCs/>
          <w:sz w:val="24"/>
          <w:szCs w:val="24"/>
          <w:u w:val="single"/>
          <w:lang w:eastAsia="el-GR"/>
        </w:rPr>
        <w:t>μέσος όρος</w:t>
      </w:r>
      <w:r w:rsidR="00B46D0E" w:rsidRPr="00E36734">
        <w:rPr>
          <w:rFonts w:ascii="Times New Roman" w:eastAsia="Times New Roman" w:hAnsi="Times New Roman" w:cs="Times New Roman"/>
          <w:bCs/>
          <w:sz w:val="24"/>
          <w:szCs w:val="24"/>
          <w:lang w:eastAsia="el-GR"/>
        </w:rPr>
        <w:t xml:space="preserve"> των ενισχύσεων που δόθηκαν από τις επιστρεπτέες προκαταβολές με βάση τα στοιχεία της έρευνας εκτιμάται στα 23.500 €. </w:t>
      </w:r>
    </w:p>
    <w:bookmarkEnd w:id="32"/>
    <w:p w14:paraId="5D4875FC" w14:textId="77777777" w:rsidR="00B46D0E" w:rsidRPr="00E36734" w:rsidRDefault="00B46D0E" w:rsidP="00143079">
      <w:pPr>
        <w:spacing w:after="0" w:line="360" w:lineRule="auto"/>
        <w:jc w:val="both"/>
        <w:rPr>
          <w:rFonts w:ascii="Times New Roman" w:eastAsia="Times New Roman" w:hAnsi="Times New Roman" w:cs="Times New Roman"/>
          <w:bCs/>
          <w:sz w:val="24"/>
          <w:szCs w:val="24"/>
          <w:lang w:eastAsia="el-GR"/>
        </w:rPr>
      </w:pPr>
    </w:p>
    <w:p w14:paraId="6316806E" w14:textId="77777777" w:rsidR="00B46D0E" w:rsidRPr="00E36734" w:rsidRDefault="00B46D0E" w:rsidP="00B46D0E">
      <w:pPr>
        <w:spacing w:after="0" w:line="360" w:lineRule="auto"/>
        <w:jc w:val="center"/>
        <w:rPr>
          <w:rFonts w:ascii="Times New Roman" w:eastAsia="Times New Roman" w:hAnsi="Times New Roman" w:cs="Times New Roman"/>
          <w:b/>
          <w:sz w:val="24"/>
          <w:szCs w:val="24"/>
          <w:lang w:eastAsia="el-GR"/>
        </w:rPr>
      </w:pPr>
    </w:p>
    <w:p w14:paraId="3877B7CA" w14:textId="46E24E18" w:rsidR="00B46D0E" w:rsidRPr="00E36734" w:rsidRDefault="00B46D0E" w:rsidP="00B46D0E">
      <w:pPr>
        <w:spacing w:after="0" w:line="360" w:lineRule="auto"/>
        <w:jc w:val="center"/>
        <w:rPr>
          <w:rFonts w:ascii="Times New Roman" w:eastAsia="Times New Roman" w:hAnsi="Times New Roman" w:cs="Times New Roman"/>
          <w:b/>
          <w:sz w:val="24"/>
          <w:szCs w:val="24"/>
          <w:lang w:eastAsia="el-GR"/>
        </w:rPr>
      </w:pPr>
    </w:p>
    <w:p w14:paraId="72DAD19F" w14:textId="4FA8B7F9" w:rsidR="00CC546C" w:rsidRPr="00E36734" w:rsidRDefault="00CC546C" w:rsidP="00B46D0E">
      <w:pPr>
        <w:spacing w:after="0" w:line="360" w:lineRule="auto"/>
        <w:jc w:val="center"/>
        <w:rPr>
          <w:rFonts w:ascii="Times New Roman" w:eastAsia="Times New Roman" w:hAnsi="Times New Roman" w:cs="Times New Roman"/>
          <w:b/>
          <w:sz w:val="24"/>
          <w:szCs w:val="24"/>
          <w:lang w:eastAsia="el-GR"/>
        </w:rPr>
      </w:pPr>
    </w:p>
    <w:p w14:paraId="16A6A500" w14:textId="1CEDDF6E" w:rsidR="00CC546C" w:rsidRPr="00E36734" w:rsidRDefault="00CC546C" w:rsidP="00B46D0E">
      <w:pPr>
        <w:spacing w:after="0" w:line="360" w:lineRule="auto"/>
        <w:jc w:val="center"/>
        <w:rPr>
          <w:rFonts w:ascii="Times New Roman" w:eastAsia="Times New Roman" w:hAnsi="Times New Roman" w:cs="Times New Roman"/>
          <w:b/>
          <w:sz w:val="24"/>
          <w:szCs w:val="24"/>
          <w:lang w:eastAsia="el-GR"/>
        </w:rPr>
      </w:pPr>
    </w:p>
    <w:p w14:paraId="6CA152A7" w14:textId="77777777" w:rsidR="008D6CAD" w:rsidRPr="00E36734" w:rsidRDefault="008D6CAD" w:rsidP="00B46D0E">
      <w:pPr>
        <w:spacing w:after="0" w:line="360" w:lineRule="auto"/>
        <w:jc w:val="center"/>
        <w:rPr>
          <w:rFonts w:ascii="Times New Roman" w:eastAsia="Times New Roman" w:hAnsi="Times New Roman" w:cs="Times New Roman"/>
          <w:b/>
          <w:sz w:val="24"/>
          <w:szCs w:val="24"/>
          <w:lang w:eastAsia="el-GR"/>
        </w:rPr>
      </w:pPr>
    </w:p>
    <w:p w14:paraId="4C8FEC33" w14:textId="77777777" w:rsidR="00CC546C" w:rsidRPr="00E36734" w:rsidRDefault="00CC546C" w:rsidP="00B46D0E">
      <w:pPr>
        <w:spacing w:after="0" w:line="360" w:lineRule="auto"/>
        <w:jc w:val="center"/>
        <w:rPr>
          <w:rFonts w:ascii="Times New Roman" w:eastAsia="Times New Roman" w:hAnsi="Times New Roman" w:cs="Times New Roman"/>
          <w:b/>
          <w:sz w:val="24"/>
          <w:szCs w:val="24"/>
          <w:lang w:eastAsia="el-GR"/>
        </w:rPr>
      </w:pPr>
    </w:p>
    <w:p w14:paraId="2236C596" w14:textId="77777777" w:rsidR="00B46D0E" w:rsidRPr="00E36734" w:rsidRDefault="00B46D0E" w:rsidP="00B46D0E">
      <w:pPr>
        <w:spacing w:after="0" w:line="360" w:lineRule="auto"/>
        <w:jc w:val="center"/>
        <w:rPr>
          <w:rFonts w:ascii="Times New Roman" w:eastAsia="Times New Roman" w:hAnsi="Times New Roman" w:cs="Times New Roman"/>
          <w:b/>
          <w:sz w:val="24"/>
          <w:szCs w:val="24"/>
          <w:lang w:eastAsia="el-GR"/>
        </w:rPr>
      </w:pPr>
    </w:p>
    <w:p w14:paraId="330B28CB" w14:textId="6FC8F979" w:rsidR="00B46D0E" w:rsidRPr="00E36734" w:rsidRDefault="00B63BE3" w:rsidP="00B46D0E">
      <w:pPr>
        <w:spacing w:after="0" w:line="360" w:lineRule="auto"/>
        <w:jc w:val="center"/>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sz w:val="24"/>
          <w:szCs w:val="24"/>
          <w:lang w:eastAsia="el-GR"/>
        </w:rPr>
        <w:lastRenderedPageBreak/>
        <w:t>Γράφημα 21</w:t>
      </w:r>
    </w:p>
    <w:p w14:paraId="4E28B42F" w14:textId="77777777" w:rsidR="00B46D0E" w:rsidRPr="00E36734" w:rsidRDefault="00B46D0E" w:rsidP="00B46D0E">
      <w:pPr>
        <w:spacing w:after="0" w:line="360" w:lineRule="auto"/>
        <w:jc w:val="center"/>
        <w:rPr>
          <w:rFonts w:ascii="Times New Roman" w:eastAsia="Times New Roman" w:hAnsi="Times New Roman" w:cs="Times New Roman"/>
          <w:b/>
          <w:sz w:val="24"/>
          <w:szCs w:val="24"/>
          <w:lang w:eastAsia="el-GR"/>
        </w:rPr>
      </w:pPr>
      <w:r w:rsidRPr="00E36734">
        <w:rPr>
          <w:noProof/>
          <w:lang w:eastAsia="el-GR"/>
        </w:rPr>
        <mc:AlternateContent>
          <mc:Choice Requires="wps">
            <w:drawing>
              <wp:anchor distT="0" distB="0" distL="114300" distR="114300" simplePos="0" relativeHeight="251660288" behindDoc="0" locked="0" layoutInCell="1" allowOverlap="1" wp14:anchorId="0A955102" wp14:editId="1D517CB7">
                <wp:simplePos x="0" y="0"/>
                <wp:positionH relativeFrom="column">
                  <wp:posOffset>4487545</wp:posOffset>
                </wp:positionH>
                <wp:positionV relativeFrom="paragraph">
                  <wp:posOffset>2567940</wp:posOffset>
                </wp:positionV>
                <wp:extent cx="1872208" cy="449580"/>
                <wp:effectExtent l="0" t="0" r="13970" b="26670"/>
                <wp:wrapNone/>
                <wp:docPr id="29" name="TextBox 1"/>
                <wp:cNvGraphicFramePr/>
                <a:graphic xmlns:a="http://schemas.openxmlformats.org/drawingml/2006/main">
                  <a:graphicData uri="http://schemas.microsoft.com/office/word/2010/wordprocessingShape">
                    <wps:wsp>
                      <wps:cNvSpPr txBox="1"/>
                      <wps:spPr>
                        <a:xfrm>
                          <a:off x="0" y="0"/>
                          <a:ext cx="1872208" cy="449580"/>
                        </a:xfrm>
                        <a:prstGeom prst="rect">
                          <a:avLst/>
                        </a:prstGeom>
                        <a:noFill/>
                        <a:ln>
                          <a:solidFill>
                            <a:sysClr val="windowText" lastClr="000000"/>
                          </a:solidFill>
                        </a:ln>
                      </wps:spPr>
                      <wps:txbx>
                        <w:txbxContent>
                          <w:p w14:paraId="694FBCCE" w14:textId="77777777" w:rsidR="00C83512" w:rsidRDefault="00C83512" w:rsidP="00B46D0E">
                            <w:pPr>
                              <w:textAlignment w:val="baseline"/>
                              <w:rPr>
                                <w:rFonts w:ascii="Microsoft JhengHei UI" w:eastAsia="Microsoft JhengHei UI" w:hAnsi="Microsoft JhengHei UI" w:cs="+mn-cs"/>
                                <w:b/>
                                <w:bCs/>
                                <w:color w:val="000000"/>
                                <w:kern w:val="24"/>
                                <w:sz w:val="32"/>
                                <w:szCs w:val="32"/>
                              </w:rPr>
                            </w:pPr>
                            <w:r>
                              <w:rPr>
                                <w:rFonts w:ascii="Microsoft JhengHei UI" w:eastAsia="Microsoft JhengHei UI" w:hAnsi="Microsoft JhengHei UI" w:cs="+mn-cs" w:hint="eastAsia"/>
                                <w:b/>
                                <w:bCs/>
                                <w:color w:val="000000"/>
                                <w:kern w:val="24"/>
                                <w:sz w:val="32"/>
                                <w:szCs w:val="32"/>
                              </w:rPr>
                              <w:t>Μ.Ο.: € 23.</w:t>
                            </w:r>
                            <w:r>
                              <w:rPr>
                                <w:rFonts w:ascii="Microsoft JhengHei UI" w:eastAsia="Microsoft JhengHei UI" w:hAnsi="Microsoft JhengHei UI" w:cs="+mn-cs"/>
                                <w:b/>
                                <w:bCs/>
                                <w:color w:val="000000"/>
                                <w:kern w:val="24"/>
                                <w:sz w:val="32"/>
                                <w:szCs w:val="32"/>
                              </w:rPr>
                              <w:t>500</w:t>
                            </w:r>
                          </w:p>
                        </w:txbxContent>
                      </wps:txbx>
                      <wps:bodyPr wrap="square" rtlCol="0">
                        <a:noAutofit/>
                      </wps:bodyPr>
                    </wps:wsp>
                  </a:graphicData>
                </a:graphic>
                <wp14:sizeRelV relativeFrom="margin">
                  <wp14:pctHeight>0</wp14:pctHeight>
                </wp14:sizeRelV>
              </wp:anchor>
            </w:drawing>
          </mc:Choice>
          <mc:Fallback>
            <w:pict>
              <v:shape w14:anchorId="0A955102" id="TextBox 1" o:spid="_x0000_s1029" type="#_x0000_t202" style="position:absolute;left:0;text-align:left;margin-left:353.35pt;margin-top:202.2pt;width:147.4pt;height:3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" filled="f" strokecolor="windowText">
                <v:textbox>
                  <w:txbxContent>
                    <w:p w14:paraId="694FBCCE" w14:textId="77777777" w:rsidR="00C83512" w:rsidRDefault="00C83512" w:rsidP="00B46D0E">
                      <w:pPr>
                        <w:textAlignment w:val="baseline"/>
                        <w:rPr>
                          <w:rFonts w:ascii="Microsoft JhengHei UI" w:eastAsia="Microsoft JhengHei UI" w:hAnsi="Microsoft JhengHei UI" w:cs="+mn-cs"/>
                          <w:b/>
                          <w:bCs/>
                          <w:color w:val="000000"/>
                          <w:kern w:val="24"/>
                          <w:sz w:val="32"/>
                          <w:szCs w:val="32"/>
                        </w:rPr>
                      </w:pPr>
                      <w:r>
                        <w:rPr>
                          <w:rFonts w:ascii="Microsoft JhengHei UI" w:eastAsia="Microsoft JhengHei UI" w:hAnsi="Microsoft JhengHei UI" w:cs="+mn-cs" w:hint="eastAsia"/>
                          <w:b/>
                          <w:bCs/>
                          <w:color w:val="000000"/>
                          <w:kern w:val="24"/>
                          <w:sz w:val="32"/>
                          <w:szCs w:val="32"/>
                        </w:rPr>
                        <w:t>Μ.Ο.: € 23.</w:t>
                      </w:r>
                      <w:r>
                        <w:rPr>
                          <w:rFonts w:ascii="Microsoft JhengHei UI" w:eastAsia="Microsoft JhengHei UI" w:hAnsi="Microsoft JhengHei UI" w:cs="+mn-cs"/>
                          <w:b/>
                          <w:bCs/>
                          <w:color w:val="000000"/>
                          <w:kern w:val="24"/>
                          <w:sz w:val="32"/>
                          <w:szCs w:val="32"/>
                        </w:rPr>
                        <w:t>500</w:t>
                      </w:r>
                    </w:p>
                  </w:txbxContent>
                </v:textbox>
              </v:shape>
            </w:pict>
          </mc:Fallback>
        </mc:AlternateContent>
      </w:r>
      <w:r w:rsidRPr="00E36734">
        <w:rPr>
          <w:rFonts w:ascii="Times New Roman" w:eastAsia="Times New Roman" w:hAnsi="Times New Roman" w:cs="Times New Roman"/>
          <w:b/>
          <w:sz w:val="24"/>
          <w:szCs w:val="24"/>
          <w:lang w:eastAsia="el-GR"/>
        </w:rPr>
        <w:t>Ποιο ήταν το ύψος της ενίσχυσης (του ποσού σε ευρώ) που λάβατε;</w:t>
      </w:r>
      <w:r w:rsidRPr="00E36734">
        <w:rPr>
          <w:rFonts w:ascii="Times New Roman" w:eastAsia="Times New Roman" w:hAnsi="Times New Roman" w:cs="Times New Roman"/>
          <w:b/>
          <w:sz w:val="24"/>
          <w:szCs w:val="24"/>
          <w:lang w:eastAsia="el-GR"/>
        </w:rPr>
        <w:br/>
      </w:r>
      <w:r w:rsidRPr="00E36734">
        <w:rPr>
          <w:rFonts w:ascii="Times New Roman" w:eastAsia="Times New Roman" w:hAnsi="Times New Roman" w:cs="Times New Roman"/>
          <w:b/>
          <w:sz w:val="20"/>
          <w:szCs w:val="20"/>
          <w:lang w:eastAsia="el-GR"/>
        </w:rPr>
        <w:t>-Βάση: Όσοι έκαναν χρήση της επιστρεπτέας προκαταβολής (63,7%) το προηγούμενο εξάμηνο -</w:t>
      </w:r>
      <w:r w:rsidRPr="00E36734">
        <w:rPr>
          <w:rFonts w:ascii="Times New Roman" w:eastAsia="Times New Roman" w:hAnsi="Times New Roman" w:cs="Times New Roman"/>
          <w:b/>
          <w:noProof/>
          <w:sz w:val="24"/>
          <w:szCs w:val="24"/>
          <w:lang w:eastAsia="el-GR"/>
        </w:rPr>
        <w:drawing>
          <wp:inline distT="0" distB="0" distL="0" distR="0" wp14:anchorId="5A2A3ACA" wp14:editId="211E4E12">
            <wp:extent cx="6570980" cy="3634740"/>
            <wp:effectExtent l="0" t="0" r="1270" b="3810"/>
            <wp:docPr id="28" name="Γράφημα 28">
              <a:extLst xmlns:a="http://schemas.openxmlformats.org/drawingml/2006/main">
                <a:ext uri="{FF2B5EF4-FFF2-40B4-BE49-F238E27FC236}">
                  <a16:creationId xmlns:a16="http://schemas.microsoft.com/office/drawing/2014/main" id="{CD2B5132-1EA9-4FAD-879F-3794F2E05B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23A1470" w14:textId="4B74E3F4" w:rsidR="008345E1" w:rsidRPr="00E36734" w:rsidRDefault="00B46D0E" w:rsidP="00143079">
      <w:pPr>
        <w:spacing w:after="0" w:line="360" w:lineRule="auto"/>
        <w:jc w:val="both"/>
        <w:rPr>
          <w:rFonts w:ascii="Times New Roman" w:eastAsia="Times New Roman" w:hAnsi="Times New Roman" w:cs="Times New Roman"/>
          <w:bCs/>
          <w:sz w:val="24"/>
          <w:szCs w:val="24"/>
          <w:lang w:eastAsia="el-GR"/>
        </w:rPr>
      </w:pPr>
      <w:bookmarkStart w:id="33" w:name="_Hlk68091001"/>
      <w:r w:rsidRPr="00E36734">
        <w:rPr>
          <w:rFonts w:ascii="Times New Roman" w:eastAsia="Times New Roman" w:hAnsi="Times New Roman" w:cs="Times New Roman"/>
          <w:bCs/>
          <w:sz w:val="24"/>
          <w:szCs w:val="24"/>
          <w:lang w:eastAsia="el-GR"/>
        </w:rPr>
        <w:t xml:space="preserve">Όσον αφορά στην επάρκεια των ποσών ενίσχυσης από τις επιστρεπτέες προκαταβολές </w:t>
      </w:r>
      <w:r w:rsidR="007252E8" w:rsidRPr="00E36734">
        <w:rPr>
          <w:rFonts w:ascii="Times New Roman" w:eastAsia="Times New Roman" w:hAnsi="Times New Roman" w:cs="Times New Roman"/>
          <w:bCs/>
          <w:sz w:val="24"/>
          <w:szCs w:val="24"/>
          <w:lang w:eastAsia="el-GR"/>
        </w:rPr>
        <w:t>6 στις 10 επιχειρήσεις (59%) δήλωσαν πως δεν ήταν αρκετά για να καλύψουν ένα σημαντικό μέρος των</w:t>
      </w:r>
      <w:r w:rsidR="00E170CB" w:rsidRPr="00E36734">
        <w:rPr>
          <w:rFonts w:ascii="Times New Roman" w:eastAsia="Times New Roman" w:hAnsi="Times New Roman" w:cs="Times New Roman"/>
          <w:bCs/>
          <w:sz w:val="24"/>
          <w:szCs w:val="24"/>
          <w:lang w:eastAsia="el-GR"/>
        </w:rPr>
        <w:t xml:space="preserve"> αναγκών </w:t>
      </w:r>
      <w:r w:rsidR="007252E8" w:rsidRPr="00E36734">
        <w:rPr>
          <w:rFonts w:ascii="Times New Roman" w:eastAsia="Times New Roman" w:hAnsi="Times New Roman" w:cs="Times New Roman"/>
          <w:bCs/>
          <w:sz w:val="24"/>
          <w:szCs w:val="24"/>
          <w:lang w:eastAsia="el-GR"/>
        </w:rPr>
        <w:t>τους</w:t>
      </w:r>
      <w:bookmarkEnd w:id="33"/>
      <w:r w:rsidR="007252E8" w:rsidRPr="00E36734">
        <w:rPr>
          <w:rFonts w:ascii="Times New Roman" w:eastAsia="Times New Roman" w:hAnsi="Times New Roman" w:cs="Times New Roman"/>
          <w:bCs/>
          <w:sz w:val="24"/>
          <w:szCs w:val="24"/>
          <w:lang w:eastAsia="el-GR"/>
        </w:rPr>
        <w:t xml:space="preserve"> </w:t>
      </w:r>
      <w:r w:rsidRPr="00E36734">
        <w:rPr>
          <w:rFonts w:ascii="Times New Roman" w:eastAsia="Times New Roman" w:hAnsi="Times New Roman" w:cs="Times New Roman"/>
          <w:bCs/>
          <w:sz w:val="24"/>
          <w:szCs w:val="24"/>
          <w:lang w:eastAsia="el-GR"/>
        </w:rPr>
        <w:t>(Γράφημα 2</w:t>
      </w:r>
      <w:r w:rsidR="00B63BE3" w:rsidRPr="00E36734">
        <w:rPr>
          <w:rFonts w:ascii="Times New Roman" w:eastAsia="Times New Roman" w:hAnsi="Times New Roman" w:cs="Times New Roman"/>
          <w:bCs/>
          <w:sz w:val="24"/>
          <w:szCs w:val="24"/>
          <w:lang w:eastAsia="el-GR"/>
        </w:rPr>
        <w:t>2</w:t>
      </w:r>
      <w:r w:rsidRPr="00E36734">
        <w:rPr>
          <w:rFonts w:ascii="Times New Roman" w:eastAsia="Times New Roman" w:hAnsi="Times New Roman" w:cs="Times New Roman"/>
          <w:bCs/>
          <w:sz w:val="24"/>
          <w:szCs w:val="24"/>
          <w:lang w:eastAsia="el-GR"/>
        </w:rPr>
        <w:t>)</w:t>
      </w:r>
      <w:r w:rsidR="00E170CB" w:rsidRPr="00E36734">
        <w:rPr>
          <w:rFonts w:ascii="Times New Roman" w:eastAsia="Times New Roman" w:hAnsi="Times New Roman" w:cs="Times New Roman"/>
          <w:bCs/>
          <w:sz w:val="24"/>
          <w:szCs w:val="24"/>
          <w:lang w:eastAsia="el-GR"/>
        </w:rPr>
        <w:t xml:space="preserve">. </w:t>
      </w:r>
    </w:p>
    <w:p w14:paraId="2D8073E2" w14:textId="7FDDF3C3" w:rsidR="008345E1" w:rsidRPr="00E36734" w:rsidRDefault="00B46D0E" w:rsidP="008345E1">
      <w:pPr>
        <w:spacing w:after="0" w:line="360" w:lineRule="auto"/>
        <w:jc w:val="center"/>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sz w:val="24"/>
          <w:szCs w:val="24"/>
          <w:lang w:eastAsia="el-GR"/>
        </w:rPr>
        <w:t>Γράφημα 2</w:t>
      </w:r>
      <w:r w:rsidR="00B63BE3" w:rsidRPr="00E36734">
        <w:rPr>
          <w:rFonts w:ascii="Times New Roman" w:eastAsia="Times New Roman" w:hAnsi="Times New Roman" w:cs="Times New Roman"/>
          <w:b/>
          <w:sz w:val="24"/>
          <w:szCs w:val="24"/>
          <w:lang w:eastAsia="el-GR"/>
        </w:rPr>
        <w:t>2</w:t>
      </w:r>
    </w:p>
    <w:p w14:paraId="6DBF9B00" w14:textId="5DAA8070" w:rsidR="008345E1" w:rsidRPr="00E36734" w:rsidRDefault="008345E1" w:rsidP="008345E1">
      <w:pPr>
        <w:spacing w:after="0" w:line="360" w:lineRule="auto"/>
        <w:jc w:val="center"/>
        <w:rPr>
          <w:rFonts w:ascii="Times New Roman" w:eastAsia="Times New Roman" w:hAnsi="Times New Roman" w:cs="Times New Roman"/>
          <w:b/>
          <w:sz w:val="20"/>
          <w:szCs w:val="20"/>
          <w:lang w:eastAsia="el-GR"/>
        </w:rPr>
      </w:pPr>
      <w:r w:rsidRPr="00E36734">
        <w:rPr>
          <w:rFonts w:ascii="Times New Roman" w:eastAsia="Times New Roman" w:hAnsi="Times New Roman" w:cs="Times New Roman"/>
          <w:b/>
          <w:lang w:eastAsia="el-GR"/>
        </w:rPr>
        <w:t>Το ύψος της ενίσχυσης (του ποσού) που λάβατε ήταν αρκετό για να καλύψει ένα σημαντικό μέρος των αναγκών σας:</w:t>
      </w:r>
      <w:r w:rsidRPr="00E36734">
        <w:rPr>
          <w:rFonts w:ascii="Times New Roman" w:eastAsia="Times New Roman" w:hAnsi="Times New Roman" w:cs="Times New Roman"/>
          <w:b/>
          <w:lang w:eastAsia="el-GR"/>
        </w:rPr>
        <w:br/>
      </w:r>
      <w:r w:rsidRPr="00E36734">
        <w:rPr>
          <w:rFonts w:ascii="Times New Roman" w:eastAsia="Times New Roman" w:hAnsi="Times New Roman" w:cs="Times New Roman"/>
          <w:b/>
          <w:sz w:val="20"/>
          <w:szCs w:val="20"/>
          <w:lang w:eastAsia="el-GR"/>
        </w:rPr>
        <w:t>-Βάση: Όσοι έκαναν χρήση της επιστρεπτέας προκαταβολής (63,7%) το προηγούμενο εξάμηνο -</w:t>
      </w:r>
    </w:p>
    <w:p w14:paraId="04463919" w14:textId="0A82991D" w:rsidR="008345E1" w:rsidRPr="00E36734" w:rsidRDefault="008345E1" w:rsidP="00143079">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noProof/>
          <w:sz w:val="24"/>
          <w:szCs w:val="24"/>
          <w:lang w:eastAsia="el-GR"/>
        </w:rPr>
        <w:drawing>
          <wp:inline distT="0" distB="0" distL="0" distR="0" wp14:anchorId="4F3896AC" wp14:editId="31FED1FD">
            <wp:extent cx="6301740" cy="2567940"/>
            <wp:effectExtent l="0" t="0" r="3810" b="3810"/>
            <wp:docPr id="30" name="Γράφημα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F96C89A" w14:textId="0E9624D7" w:rsidR="00B46D0E" w:rsidRPr="00E36734" w:rsidRDefault="007252E8" w:rsidP="00143079">
      <w:pPr>
        <w:spacing w:after="0" w:line="360" w:lineRule="auto"/>
        <w:jc w:val="both"/>
        <w:rPr>
          <w:rFonts w:ascii="Times New Roman" w:eastAsia="Times New Roman" w:hAnsi="Times New Roman" w:cs="Times New Roman"/>
          <w:bCs/>
          <w:sz w:val="24"/>
          <w:szCs w:val="24"/>
          <w:lang w:eastAsia="el-GR"/>
        </w:rPr>
      </w:pPr>
      <w:bookmarkStart w:id="34" w:name="_Hlk68091026"/>
      <w:r w:rsidRPr="00E36734">
        <w:rPr>
          <w:rFonts w:ascii="Times New Roman" w:eastAsia="Times New Roman" w:hAnsi="Times New Roman" w:cs="Times New Roman"/>
          <w:bCs/>
          <w:sz w:val="24"/>
          <w:szCs w:val="24"/>
          <w:lang w:eastAsia="el-GR"/>
        </w:rPr>
        <w:lastRenderedPageBreak/>
        <w:t>Για το 59% των επιχειρήσεων που δήλωσαν πως τα ποσά ενίσχυσης που έλαβαν από τις επιστρεπτέες προκαταβολές υπολείπονταν των αναγκών τους η κατανομή των ενισχύσεων που τους χορ</w:t>
      </w:r>
      <w:r w:rsidR="00B63BE3" w:rsidRPr="00E36734">
        <w:rPr>
          <w:rFonts w:ascii="Times New Roman" w:eastAsia="Times New Roman" w:hAnsi="Times New Roman" w:cs="Times New Roman"/>
          <w:bCs/>
          <w:sz w:val="24"/>
          <w:szCs w:val="24"/>
          <w:lang w:eastAsia="el-GR"/>
        </w:rPr>
        <w:t>ηγήθηκαν φαίνεται στο Γράφημα 23</w:t>
      </w:r>
      <w:r w:rsidRPr="00E36734">
        <w:rPr>
          <w:rFonts w:ascii="Times New Roman" w:eastAsia="Times New Roman" w:hAnsi="Times New Roman" w:cs="Times New Roman"/>
          <w:bCs/>
          <w:sz w:val="24"/>
          <w:szCs w:val="24"/>
          <w:lang w:eastAsia="el-GR"/>
        </w:rPr>
        <w:t xml:space="preserve">. Ειδικότερα, περισσότερες από 6 στις 10 (65,5%) των επιχειρήσεων αυτών έλαβαν οικονομική ενίσχυση έως 5000 €, ενώ ο μέσος όρος των ενισχύσεων στο σύνολο αυτής της κατηγορίας με βάση τα στοιχεία της έρευνας εκτιμάται στα 9.500 €. </w:t>
      </w:r>
      <w:r w:rsidR="00495E12" w:rsidRPr="00E36734">
        <w:rPr>
          <w:rFonts w:ascii="Times New Roman" w:eastAsia="Times New Roman" w:hAnsi="Times New Roman" w:cs="Times New Roman"/>
          <w:bCs/>
          <w:sz w:val="24"/>
          <w:szCs w:val="24"/>
          <w:lang w:eastAsia="el-GR"/>
        </w:rPr>
        <w:t>Υπολείπεται</w:t>
      </w:r>
      <w:r w:rsidRPr="00E36734">
        <w:rPr>
          <w:rFonts w:ascii="Times New Roman" w:eastAsia="Times New Roman" w:hAnsi="Times New Roman" w:cs="Times New Roman"/>
          <w:bCs/>
          <w:sz w:val="24"/>
          <w:szCs w:val="24"/>
          <w:lang w:eastAsia="el-GR"/>
        </w:rPr>
        <w:t xml:space="preserve"> </w:t>
      </w:r>
      <w:r w:rsidR="00495E12" w:rsidRPr="00E36734">
        <w:rPr>
          <w:rFonts w:ascii="Times New Roman" w:eastAsia="Times New Roman" w:hAnsi="Times New Roman" w:cs="Times New Roman"/>
          <w:bCs/>
          <w:sz w:val="24"/>
          <w:szCs w:val="24"/>
          <w:lang w:eastAsia="el-GR"/>
        </w:rPr>
        <w:t>δηλαδή</w:t>
      </w:r>
      <w:r w:rsidRPr="00E36734">
        <w:rPr>
          <w:rFonts w:ascii="Times New Roman" w:eastAsia="Times New Roman" w:hAnsi="Times New Roman" w:cs="Times New Roman"/>
          <w:bCs/>
          <w:sz w:val="24"/>
          <w:szCs w:val="24"/>
          <w:lang w:eastAsia="el-GR"/>
        </w:rPr>
        <w:t xml:space="preserve"> 2,5 φορές από το συνολικό μέσο όρο που εκτιμάται στα 23</w:t>
      </w:r>
      <w:r w:rsidR="00495E12" w:rsidRPr="00E36734">
        <w:rPr>
          <w:rFonts w:ascii="Times New Roman" w:eastAsia="Times New Roman" w:hAnsi="Times New Roman" w:cs="Times New Roman"/>
          <w:bCs/>
          <w:sz w:val="24"/>
          <w:szCs w:val="24"/>
          <w:lang w:eastAsia="el-GR"/>
        </w:rPr>
        <w:t>.</w:t>
      </w:r>
      <w:r w:rsidRPr="00E36734">
        <w:rPr>
          <w:rFonts w:ascii="Times New Roman" w:eastAsia="Times New Roman" w:hAnsi="Times New Roman" w:cs="Times New Roman"/>
          <w:bCs/>
          <w:sz w:val="24"/>
          <w:szCs w:val="24"/>
          <w:lang w:eastAsia="el-GR"/>
        </w:rPr>
        <w:t>500</w:t>
      </w:r>
      <w:r w:rsidR="00495E12" w:rsidRPr="00E36734">
        <w:rPr>
          <w:rFonts w:ascii="Times New Roman" w:eastAsia="Times New Roman" w:hAnsi="Times New Roman" w:cs="Times New Roman"/>
          <w:bCs/>
          <w:sz w:val="24"/>
          <w:szCs w:val="24"/>
          <w:lang w:eastAsia="el-GR"/>
        </w:rPr>
        <w:t xml:space="preserve"> €</w:t>
      </w:r>
    </w:p>
    <w:bookmarkEnd w:id="34"/>
    <w:p w14:paraId="690A1DD0" w14:textId="77777777" w:rsidR="004622B0" w:rsidRPr="00E36734" w:rsidRDefault="004622B0" w:rsidP="00143079">
      <w:pPr>
        <w:spacing w:after="0" w:line="360" w:lineRule="auto"/>
        <w:jc w:val="both"/>
        <w:rPr>
          <w:rFonts w:ascii="Times New Roman" w:eastAsia="Times New Roman" w:hAnsi="Times New Roman" w:cs="Times New Roman"/>
          <w:b/>
          <w:sz w:val="24"/>
          <w:szCs w:val="24"/>
          <w:lang w:eastAsia="el-GR"/>
        </w:rPr>
      </w:pPr>
    </w:p>
    <w:p w14:paraId="247C0562" w14:textId="2A6E9F12" w:rsidR="004622B0" w:rsidRPr="00E36734" w:rsidRDefault="00B63BE3" w:rsidP="00495E12">
      <w:pPr>
        <w:spacing w:after="0" w:line="360" w:lineRule="auto"/>
        <w:jc w:val="center"/>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sz w:val="24"/>
          <w:szCs w:val="24"/>
          <w:lang w:eastAsia="el-GR"/>
        </w:rPr>
        <w:t>Γράφημα 23</w:t>
      </w:r>
    </w:p>
    <w:p w14:paraId="6CEBC77B" w14:textId="77777777" w:rsidR="00C91692" w:rsidRPr="00E36734" w:rsidRDefault="00C91692" w:rsidP="00C91692">
      <w:pPr>
        <w:spacing w:after="0" w:line="360" w:lineRule="auto"/>
        <w:jc w:val="center"/>
        <w:rPr>
          <w:rFonts w:ascii="Times New Roman" w:eastAsia="Times New Roman" w:hAnsi="Times New Roman" w:cs="Times New Roman"/>
          <w:b/>
          <w:sz w:val="20"/>
          <w:szCs w:val="20"/>
          <w:lang w:eastAsia="el-GR"/>
        </w:rPr>
      </w:pPr>
      <w:r w:rsidRPr="00E36734">
        <w:rPr>
          <w:rFonts w:ascii="Times New Roman" w:eastAsia="Times New Roman" w:hAnsi="Times New Roman" w:cs="Times New Roman"/>
          <w:b/>
          <w:sz w:val="24"/>
          <w:szCs w:val="24"/>
          <w:lang w:eastAsia="el-GR"/>
        </w:rPr>
        <w:t>Ποιο ήταν το ύψος της ενίσχυσης (του ποσού σε ευρώ) που λάβατε;</w:t>
      </w:r>
      <w:r w:rsidRPr="00E36734">
        <w:rPr>
          <w:rFonts w:ascii="Times New Roman" w:eastAsia="Times New Roman" w:hAnsi="Times New Roman" w:cs="Times New Roman"/>
          <w:b/>
          <w:sz w:val="24"/>
          <w:szCs w:val="24"/>
          <w:lang w:eastAsia="el-GR"/>
        </w:rPr>
        <w:br/>
      </w:r>
      <w:r w:rsidRPr="00E36734">
        <w:rPr>
          <w:rFonts w:ascii="Times New Roman" w:eastAsia="Microsoft JhengHei UI" w:hAnsi="Times New Roman" w:cs="Times New Roman"/>
          <w:b/>
          <w:bCs/>
          <w:color w:val="000000" w:themeColor="text1"/>
          <w:sz w:val="20"/>
          <w:szCs w:val="20"/>
        </w:rPr>
        <w:t>-Βάση: Όσοι δηλώνουν ότι το ύψος της ενίσχυσης δεν ήταν αρκετό-</w:t>
      </w:r>
    </w:p>
    <w:p w14:paraId="7028CB16" w14:textId="2C50A356" w:rsidR="004622B0" w:rsidRPr="00E36734" w:rsidRDefault="00EA66B6" w:rsidP="00C91692">
      <w:pPr>
        <w:spacing w:after="0" w:line="360" w:lineRule="auto"/>
        <w:jc w:val="center"/>
        <w:rPr>
          <w:rFonts w:ascii="Times New Roman" w:eastAsia="Times New Roman" w:hAnsi="Times New Roman" w:cs="Times New Roman"/>
          <w:b/>
          <w:sz w:val="24"/>
          <w:szCs w:val="24"/>
          <w:lang w:eastAsia="el-GR"/>
        </w:rPr>
      </w:pPr>
      <w:r w:rsidRPr="00E36734">
        <w:rPr>
          <w:noProof/>
          <w:lang w:eastAsia="el-GR"/>
        </w:rPr>
        <mc:AlternateContent>
          <mc:Choice Requires="wps">
            <w:drawing>
              <wp:anchor distT="0" distB="0" distL="114300" distR="114300" simplePos="0" relativeHeight="251655168" behindDoc="0" locked="0" layoutInCell="1" allowOverlap="1" wp14:anchorId="17FFEBFA" wp14:editId="4D62A01F">
                <wp:simplePos x="0" y="0"/>
                <wp:positionH relativeFrom="column">
                  <wp:posOffset>4015740</wp:posOffset>
                </wp:positionH>
                <wp:positionV relativeFrom="paragraph">
                  <wp:posOffset>2205355</wp:posOffset>
                </wp:positionV>
                <wp:extent cx="1872208" cy="449580"/>
                <wp:effectExtent l="0" t="0" r="13970" b="26670"/>
                <wp:wrapNone/>
                <wp:docPr id="31" name="TextBox 1"/>
                <wp:cNvGraphicFramePr/>
                <a:graphic xmlns:a="http://schemas.openxmlformats.org/drawingml/2006/main">
                  <a:graphicData uri="http://schemas.microsoft.com/office/word/2010/wordprocessingShape">
                    <wps:wsp>
                      <wps:cNvSpPr txBox="1"/>
                      <wps:spPr>
                        <a:xfrm>
                          <a:off x="0" y="0"/>
                          <a:ext cx="1872208" cy="449580"/>
                        </a:xfrm>
                        <a:prstGeom prst="rect">
                          <a:avLst/>
                        </a:prstGeom>
                        <a:noFill/>
                        <a:ln>
                          <a:solidFill>
                            <a:sysClr val="windowText" lastClr="000000"/>
                          </a:solidFill>
                        </a:ln>
                      </wps:spPr>
                      <wps:txbx>
                        <w:txbxContent>
                          <w:p w14:paraId="158DA902" w14:textId="615DBABB" w:rsidR="00C83512" w:rsidRPr="00EA66B6" w:rsidRDefault="00C83512" w:rsidP="00EA66B6">
                            <w:pPr>
                              <w:textAlignment w:val="baseline"/>
                              <w:rPr>
                                <w:rFonts w:ascii="Microsoft JhengHei UI" w:eastAsia="Microsoft JhengHei UI" w:hAnsi="Microsoft JhengHei UI" w:cs="+mn-cs"/>
                                <w:b/>
                                <w:bCs/>
                                <w:color w:val="000000"/>
                                <w:kern w:val="24"/>
                                <w:sz w:val="32"/>
                                <w:szCs w:val="32"/>
                                <w:lang w:val="en-US"/>
                              </w:rPr>
                            </w:pPr>
                            <w:r>
                              <w:rPr>
                                <w:rFonts w:ascii="Microsoft JhengHei UI" w:eastAsia="Microsoft JhengHei UI" w:hAnsi="Microsoft JhengHei UI" w:cs="+mn-cs" w:hint="eastAsia"/>
                                <w:b/>
                                <w:bCs/>
                                <w:color w:val="000000"/>
                                <w:kern w:val="24"/>
                                <w:sz w:val="32"/>
                                <w:szCs w:val="32"/>
                              </w:rPr>
                              <w:t xml:space="preserve">Μ.Ο.: € </w:t>
                            </w:r>
                            <w:r>
                              <w:rPr>
                                <w:rFonts w:ascii="Microsoft JhengHei UI" w:eastAsia="Microsoft JhengHei UI" w:hAnsi="Microsoft JhengHei UI" w:cs="+mn-cs"/>
                                <w:b/>
                                <w:bCs/>
                                <w:color w:val="000000"/>
                                <w:kern w:val="24"/>
                                <w:sz w:val="32"/>
                                <w:szCs w:val="32"/>
                                <w:lang w:val="en-US"/>
                              </w:rPr>
                              <w:t>9.500</w:t>
                            </w:r>
                          </w:p>
                        </w:txbxContent>
                      </wps:txbx>
                      <wps:bodyPr wrap="square" rtlCol="0">
                        <a:noAutofit/>
                      </wps:bodyPr>
                    </wps:wsp>
                  </a:graphicData>
                </a:graphic>
                <wp14:sizeRelV relativeFrom="margin">
                  <wp14:pctHeight>0</wp14:pctHeight>
                </wp14:sizeRelV>
              </wp:anchor>
            </w:drawing>
          </mc:Choice>
          <mc:Fallback>
            <w:pict>
              <v:shape w14:anchorId="17FFEBFA" id="_x0000_s1030" type="#_x0000_t202" style="position:absolute;left:0;text-align:left;margin-left:316.2pt;margin-top:173.65pt;width:147.4pt;height:35.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" filled="f" strokecolor="windowText">
                <v:textbox>
                  <w:txbxContent>
                    <w:p w14:paraId="158DA902" w14:textId="615DBABB" w:rsidR="00C83512" w:rsidRPr="00EA66B6" w:rsidRDefault="00C83512" w:rsidP="00EA66B6">
                      <w:pPr>
                        <w:textAlignment w:val="baseline"/>
                        <w:rPr>
                          <w:rFonts w:ascii="Microsoft JhengHei UI" w:eastAsia="Microsoft JhengHei UI" w:hAnsi="Microsoft JhengHei UI" w:cs="+mn-cs"/>
                          <w:b/>
                          <w:bCs/>
                          <w:color w:val="000000"/>
                          <w:kern w:val="24"/>
                          <w:sz w:val="32"/>
                          <w:szCs w:val="32"/>
                          <w:lang w:val="en-US"/>
                        </w:rPr>
                      </w:pPr>
                      <w:r>
                        <w:rPr>
                          <w:rFonts w:ascii="Microsoft JhengHei UI" w:eastAsia="Microsoft JhengHei UI" w:hAnsi="Microsoft JhengHei UI" w:cs="+mn-cs" w:hint="eastAsia"/>
                          <w:b/>
                          <w:bCs/>
                          <w:color w:val="000000"/>
                          <w:kern w:val="24"/>
                          <w:sz w:val="32"/>
                          <w:szCs w:val="32"/>
                        </w:rPr>
                        <w:t xml:space="preserve">Μ.Ο.: € </w:t>
                      </w:r>
                      <w:r>
                        <w:rPr>
                          <w:rFonts w:ascii="Microsoft JhengHei UI" w:eastAsia="Microsoft JhengHei UI" w:hAnsi="Microsoft JhengHei UI" w:cs="+mn-cs"/>
                          <w:b/>
                          <w:bCs/>
                          <w:color w:val="000000"/>
                          <w:kern w:val="24"/>
                          <w:sz w:val="32"/>
                          <w:szCs w:val="32"/>
                          <w:lang w:val="en-US"/>
                        </w:rPr>
                        <w:t>9.500</w:t>
                      </w:r>
                    </w:p>
                  </w:txbxContent>
                </v:textbox>
              </v:shape>
            </w:pict>
          </mc:Fallback>
        </mc:AlternateContent>
      </w:r>
      <w:r w:rsidRPr="00E36734">
        <w:rPr>
          <w:rFonts w:ascii="Times New Roman" w:eastAsia="Times New Roman" w:hAnsi="Times New Roman" w:cs="Times New Roman"/>
          <w:b/>
          <w:noProof/>
          <w:sz w:val="24"/>
          <w:szCs w:val="24"/>
          <w:lang w:eastAsia="el-GR"/>
        </w:rPr>
        <w:drawing>
          <wp:inline distT="0" distB="0" distL="0" distR="0" wp14:anchorId="08AAADA7" wp14:editId="24C75EFE">
            <wp:extent cx="6570980" cy="3634740"/>
            <wp:effectExtent l="0" t="0" r="1270" b="3810"/>
            <wp:docPr id="20" name="Γράφημα 20">
              <a:extLst xmlns:a="http://schemas.openxmlformats.org/drawingml/2006/main">
                <a:ext uri="{FF2B5EF4-FFF2-40B4-BE49-F238E27FC236}">
                  <a16:creationId xmlns:a16="http://schemas.microsoft.com/office/drawing/2014/main" id="{CD2B5132-1EA9-4FAD-879F-3794F2E05B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9751B85" w14:textId="36DFE76B" w:rsidR="00495E12" w:rsidRPr="00E36734" w:rsidRDefault="00495E12" w:rsidP="00495E12">
      <w:pPr>
        <w:spacing w:after="0" w:line="360" w:lineRule="auto"/>
        <w:rPr>
          <w:rFonts w:ascii="Times New Roman" w:eastAsia="Times New Roman" w:hAnsi="Times New Roman" w:cs="Times New Roman"/>
          <w:b/>
          <w:sz w:val="24"/>
          <w:szCs w:val="24"/>
          <w:lang w:eastAsia="el-GR"/>
        </w:rPr>
      </w:pPr>
    </w:p>
    <w:p w14:paraId="46BDCB03" w14:textId="2BDF9200" w:rsidR="00495E12" w:rsidRPr="00E36734" w:rsidRDefault="00B63BE3" w:rsidP="00495E12">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Στο Γράφημα 24</w:t>
      </w:r>
      <w:r w:rsidR="00495E12" w:rsidRPr="00E36734">
        <w:rPr>
          <w:rFonts w:ascii="Times New Roman" w:eastAsia="Times New Roman" w:hAnsi="Times New Roman" w:cs="Times New Roman"/>
          <w:bCs/>
          <w:sz w:val="24"/>
          <w:szCs w:val="24"/>
          <w:lang w:eastAsia="el-GR"/>
        </w:rPr>
        <w:t xml:space="preserve"> φαίνονται τα ποσοστά των επιχειρήσεων ανά κατηγορία ποσού του επιθυμητού ύψους ενίσχυσης που δήλωσαν πως θα ήθελαν να λάβουν οι μικρές και πολύ μικρές επιχειρήσεις που δεν έλαβαν επαρκή χρηματοδοτική στήριξη μέσω των επιστρεπτέων προκαταβολών. Ειδικότερα για το 8% των επιχειρήσεων η επαρκής χρηματοδοτική στήριξη αντιστοιχεί σε ποσά ύψους έως 2500€,  το 21,3% από 2501 έως 5000€ το 21% από 5001-10000€, το 17% από 10001 έως 20000, το 10,7% από 20001-30000€ και το 15% σε ποσά άνω των 30000€. </w:t>
      </w:r>
      <w:bookmarkStart w:id="35" w:name="_Hlk68091060"/>
      <w:r w:rsidR="00495E12" w:rsidRPr="00E36734">
        <w:rPr>
          <w:rFonts w:ascii="Times New Roman" w:eastAsia="Times New Roman" w:hAnsi="Times New Roman" w:cs="Times New Roman"/>
          <w:bCs/>
          <w:sz w:val="24"/>
          <w:szCs w:val="24"/>
          <w:lang w:eastAsia="el-GR"/>
        </w:rPr>
        <w:t>Ο μέσος όρος των ενισχύσεων στο σύνολο αυτής της κατηγορίας με βάση τα στοιχεία της έρευνας εκτιμάται στα 32.000€. Υπολείπεται</w:t>
      </w:r>
      <w:r w:rsidR="00CB6783" w:rsidRPr="00E36734">
        <w:rPr>
          <w:rFonts w:ascii="Times New Roman" w:eastAsia="Times New Roman" w:hAnsi="Times New Roman" w:cs="Times New Roman"/>
          <w:bCs/>
          <w:sz w:val="24"/>
          <w:szCs w:val="24"/>
          <w:lang w:eastAsia="el-GR"/>
        </w:rPr>
        <w:t>,</w:t>
      </w:r>
      <w:r w:rsidR="00495E12" w:rsidRPr="00E36734">
        <w:rPr>
          <w:rFonts w:ascii="Times New Roman" w:eastAsia="Times New Roman" w:hAnsi="Times New Roman" w:cs="Times New Roman"/>
          <w:bCs/>
          <w:sz w:val="24"/>
          <w:szCs w:val="24"/>
          <w:lang w:eastAsia="el-GR"/>
        </w:rPr>
        <w:t xml:space="preserve"> δηλαδή</w:t>
      </w:r>
      <w:r w:rsidR="00CB6783" w:rsidRPr="00E36734">
        <w:rPr>
          <w:rFonts w:ascii="Times New Roman" w:eastAsia="Times New Roman" w:hAnsi="Times New Roman" w:cs="Times New Roman"/>
          <w:bCs/>
          <w:sz w:val="24"/>
          <w:szCs w:val="24"/>
          <w:lang w:eastAsia="el-GR"/>
        </w:rPr>
        <w:t xml:space="preserve">, </w:t>
      </w:r>
      <w:r w:rsidR="00495E12" w:rsidRPr="00E36734">
        <w:rPr>
          <w:rFonts w:ascii="Times New Roman" w:eastAsia="Times New Roman" w:hAnsi="Times New Roman" w:cs="Times New Roman"/>
          <w:bCs/>
          <w:sz w:val="24"/>
          <w:szCs w:val="24"/>
          <w:lang w:eastAsia="el-GR"/>
        </w:rPr>
        <w:t xml:space="preserve">περισσότερο από 3 φορές σε </w:t>
      </w:r>
      <w:r w:rsidR="00CB6783" w:rsidRPr="00E36734">
        <w:rPr>
          <w:rFonts w:ascii="Times New Roman" w:eastAsia="Times New Roman" w:hAnsi="Times New Roman" w:cs="Times New Roman"/>
          <w:bCs/>
          <w:sz w:val="24"/>
          <w:szCs w:val="24"/>
          <w:lang w:eastAsia="el-GR"/>
        </w:rPr>
        <w:t>σύγκριση</w:t>
      </w:r>
      <w:r w:rsidR="00495E12" w:rsidRPr="00E36734">
        <w:rPr>
          <w:rFonts w:ascii="Times New Roman" w:eastAsia="Times New Roman" w:hAnsi="Times New Roman" w:cs="Times New Roman"/>
          <w:bCs/>
          <w:sz w:val="24"/>
          <w:szCs w:val="24"/>
          <w:lang w:eastAsia="el-GR"/>
        </w:rPr>
        <w:t xml:space="preserve"> με το μέσο όρο των </w:t>
      </w:r>
      <w:r w:rsidR="00CB6783" w:rsidRPr="00E36734">
        <w:rPr>
          <w:rFonts w:ascii="Times New Roman" w:eastAsia="Times New Roman" w:hAnsi="Times New Roman" w:cs="Times New Roman"/>
          <w:bCs/>
          <w:sz w:val="24"/>
          <w:szCs w:val="24"/>
          <w:lang w:eastAsia="el-GR"/>
        </w:rPr>
        <w:t>ενισχύσεων</w:t>
      </w:r>
      <w:r w:rsidR="00495E12" w:rsidRPr="00E36734">
        <w:rPr>
          <w:rFonts w:ascii="Times New Roman" w:eastAsia="Times New Roman" w:hAnsi="Times New Roman" w:cs="Times New Roman"/>
          <w:bCs/>
          <w:sz w:val="24"/>
          <w:szCs w:val="24"/>
          <w:lang w:eastAsia="el-GR"/>
        </w:rPr>
        <w:t xml:space="preserve"> που έχουν λάβει οι επιχειρήσεις </w:t>
      </w:r>
      <w:r w:rsidR="00CB6783" w:rsidRPr="00E36734">
        <w:rPr>
          <w:rFonts w:ascii="Times New Roman" w:eastAsia="Times New Roman" w:hAnsi="Times New Roman" w:cs="Times New Roman"/>
          <w:bCs/>
          <w:sz w:val="24"/>
          <w:szCs w:val="24"/>
          <w:lang w:eastAsia="el-GR"/>
        </w:rPr>
        <w:t xml:space="preserve">που δήλωσαν ότι η </w:t>
      </w:r>
      <w:r w:rsidR="00CB6783" w:rsidRPr="00E36734">
        <w:rPr>
          <w:rFonts w:ascii="Times New Roman" w:eastAsia="Times New Roman" w:hAnsi="Times New Roman" w:cs="Times New Roman"/>
          <w:bCs/>
          <w:sz w:val="24"/>
          <w:szCs w:val="24"/>
          <w:lang w:eastAsia="el-GR"/>
        </w:rPr>
        <w:lastRenderedPageBreak/>
        <w:t xml:space="preserve">χρηματοδότη που τους χορηγήθηκε μέσω των επιστρεπτέων προκαταβολών δεν ήταν αρκετή για να καλύψει ένα σημαντικό μέρος των αναγκών τους. </w:t>
      </w:r>
    </w:p>
    <w:bookmarkEnd w:id="35"/>
    <w:p w14:paraId="048C34FF" w14:textId="315B7C89" w:rsidR="00CB6783" w:rsidRPr="00E36734" w:rsidRDefault="00CB6783" w:rsidP="00495E12">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 xml:space="preserve">Από τα ευρήματα αυτά φαίνεται ότι ένας από τους κύριους λόγους που καταγράφεται σοβαρή επιδείνωση της ρευστότητας των μικρών και πολύ μικρών επιχειρήσεων αποτελεί η υποχρηματοδότηση που έχουν λάβει ώστε να ανταπεξέλθουν στις δυσμενείς επιπτώσεις που προκαλεί στην οικονομία η υγειονομική κρίση.  Τονίζεται ότι η έλλειψη ρευστότητας ή/και πρόσβασης σε χρηματοδότηση αποτελεί το σημαντικότερο </w:t>
      </w:r>
      <w:r w:rsidR="006A1075" w:rsidRPr="00E36734">
        <w:rPr>
          <w:rFonts w:ascii="Times New Roman" w:eastAsia="Times New Roman" w:hAnsi="Times New Roman" w:cs="Times New Roman"/>
          <w:bCs/>
          <w:sz w:val="24"/>
          <w:szCs w:val="24"/>
          <w:lang w:eastAsia="el-GR"/>
        </w:rPr>
        <w:t>παράγοντα</w:t>
      </w:r>
      <w:r w:rsidRPr="00E36734">
        <w:rPr>
          <w:rFonts w:ascii="Times New Roman" w:eastAsia="Times New Roman" w:hAnsi="Times New Roman" w:cs="Times New Roman"/>
          <w:bCs/>
          <w:sz w:val="24"/>
          <w:szCs w:val="24"/>
          <w:lang w:eastAsia="el-GR"/>
        </w:rPr>
        <w:t xml:space="preserve"> που μπορεί να οδηγήσει ακόμα κι υγιείς επιχειρήσεις σ</w:t>
      </w:r>
      <w:r w:rsidR="006A1075" w:rsidRPr="00E36734">
        <w:rPr>
          <w:rFonts w:ascii="Times New Roman" w:eastAsia="Times New Roman" w:hAnsi="Times New Roman" w:cs="Times New Roman"/>
          <w:bCs/>
          <w:sz w:val="24"/>
          <w:szCs w:val="24"/>
          <w:lang w:eastAsia="el-GR"/>
        </w:rPr>
        <w:t xml:space="preserve">ε διακοπή δραστηριότητας. </w:t>
      </w:r>
    </w:p>
    <w:p w14:paraId="1DC56884" w14:textId="5E05FA0B" w:rsidR="006A1075" w:rsidRPr="00E36734" w:rsidRDefault="006A1075" w:rsidP="00495E12">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 xml:space="preserve">Επιπλέον,  συσχετίζεται και με την σημαντική αύξηση που καταγράφεται ποσοστιαία στις εκτιμήσεις των επιχειρήσεων ως προς την δυνατότητα τους να εξυπηρετήσουν τις υποχρεώσεις τους το επόμενο εξάμηνο. </w:t>
      </w:r>
    </w:p>
    <w:p w14:paraId="26566744" w14:textId="0D42A87B" w:rsidR="006A1075" w:rsidRPr="00E36734" w:rsidRDefault="006A1075" w:rsidP="00495E12">
      <w:pPr>
        <w:spacing w:after="0" w:line="360" w:lineRule="auto"/>
        <w:jc w:val="both"/>
        <w:rPr>
          <w:rFonts w:ascii="Times New Roman" w:eastAsia="Times New Roman" w:hAnsi="Times New Roman" w:cs="Times New Roman"/>
          <w:bCs/>
          <w:sz w:val="24"/>
          <w:szCs w:val="24"/>
          <w:lang w:eastAsia="el-GR"/>
        </w:rPr>
      </w:pPr>
      <w:r w:rsidRPr="00E36734">
        <w:rPr>
          <w:rFonts w:ascii="Times New Roman" w:eastAsia="Times New Roman" w:hAnsi="Times New Roman" w:cs="Times New Roman"/>
          <w:bCs/>
          <w:sz w:val="24"/>
          <w:szCs w:val="24"/>
          <w:lang w:eastAsia="el-GR"/>
        </w:rPr>
        <w:t xml:space="preserve">Εν κατακλείδι, φαίνεται πως το ζήτημα της επαρκούς χρηματοδοτικής στήριξης των επιχειρήσεων το επόμενο διάστημα θα αποτελέσει τον κρισιμότερο παράγοντα για την επιβίωση </w:t>
      </w:r>
      <w:r w:rsidR="00002179" w:rsidRPr="00E36734">
        <w:rPr>
          <w:rFonts w:ascii="Times New Roman" w:eastAsia="Times New Roman" w:hAnsi="Times New Roman" w:cs="Times New Roman"/>
          <w:bCs/>
          <w:sz w:val="24"/>
          <w:szCs w:val="24"/>
          <w:lang w:eastAsia="el-GR"/>
        </w:rPr>
        <w:t xml:space="preserve">εκείνων </w:t>
      </w:r>
      <w:r w:rsidRPr="00E36734">
        <w:rPr>
          <w:rFonts w:ascii="Times New Roman" w:eastAsia="Times New Roman" w:hAnsi="Times New Roman" w:cs="Times New Roman"/>
          <w:bCs/>
          <w:sz w:val="24"/>
          <w:szCs w:val="24"/>
          <w:lang w:eastAsia="el-GR"/>
        </w:rPr>
        <w:t xml:space="preserve">των επιχειρήσεων που αντιμετωπίζουν πολλαπλές προκλήσεις και με βάση τα στοιχεία της έρευνας εκτιμώνται τουλάχιστον </w:t>
      </w:r>
      <w:r w:rsidR="00002179" w:rsidRPr="00E36734">
        <w:rPr>
          <w:rFonts w:ascii="Times New Roman" w:eastAsia="Times New Roman" w:hAnsi="Times New Roman" w:cs="Times New Roman"/>
          <w:bCs/>
          <w:sz w:val="24"/>
          <w:szCs w:val="24"/>
          <w:lang w:eastAsia="el-GR"/>
        </w:rPr>
        <w:t xml:space="preserve">σε 1 στις 5 μικρές και πολύ μικρές επιχειρήσεις. </w:t>
      </w:r>
    </w:p>
    <w:p w14:paraId="7F6A94EB" w14:textId="77777777" w:rsidR="00495E12" w:rsidRPr="00E36734" w:rsidRDefault="00495E12" w:rsidP="00002179">
      <w:pPr>
        <w:spacing w:after="0" w:line="360" w:lineRule="auto"/>
        <w:rPr>
          <w:rFonts w:ascii="Times New Roman" w:eastAsia="Times New Roman" w:hAnsi="Times New Roman" w:cs="Times New Roman"/>
          <w:b/>
          <w:sz w:val="24"/>
          <w:szCs w:val="24"/>
          <w:lang w:eastAsia="el-GR"/>
        </w:rPr>
      </w:pPr>
    </w:p>
    <w:p w14:paraId="7D50F8F1" w14:textId="51023F7A" w:rsidR="004622B0" w:rsidRPr="00E36734" w:rsidRDefault="00B63BE3" w:rsidP="00495E12">
      <w:pPr>
        <w:spacing w:after="0" w:line="360" w:lineRule="auto"/>
        <w:jc w:val="center"/>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sz w:val="24"/>
          <w:szCs w:val="24"/>
          <w:lang w:eastAsia="el-GR"/>
        </w:rPr>
        <w:t>Γράφημα 24</w:t>
      </w:r>
    </w:p>
    <w:p w14:paraId="77CF37E4" w14:textId="5AD7EB5F" w:rsidR="004622B0" w:rsidRPr="00E36734" w:rsidRDefault="00C91692" w:rsidP="00C91692">
      <w:pPr>
        <w:spacing w:after="0" w:line="360" w:lineRule="auto"/>
        <w:jc w:val="center"/>
        <w:rPr>
          <w:rFonts w:ascii="Times New Roman" w:eastAsia="Times New Roman" w:hAnsi="Times New Roman" w:cs="Times New Roman"/>
          <w:b/>
          <w:sz w:val="24"/>
          <w:szCs w:val="24"/>
          <w:lang w:eastAsia="el-GR"/>
        </w:rPr>
      </w:pPr>
      <w:r w:rsidRPr="00E36734">
        <w:rPr>
          <w:rFonts w:ascii="Times New Roman" w:eastAsia="Microsoft JhengHei UI" w:hAnsi="Times New Roman" w:cs="Times New Roman"/>
          <w:b/>
          <w:bCs/>
          <w:color w:val="000000" w:themeColor="text1"/>
          <w:sz w:val="24"/>
          <w:szCs w:val="24"/>
        </w:rPr>
        <w:t>Τι ύψος ενίσχυσης (ποσό) θα χρειαζόσασταν;</w:t>
      </w:r>
      <w:r w:rsidRPr="00E36734">
        <w:rPr>
          <w:rFonts w:ascii="Times New Roman" w:eastAsia="Microsoft JhengHei UI" w:hAnsi="Times New Roman" w:cs="Times New Roman"/>
          <w:b/>
          <w:bCs/>
          <w:color w:val="000000" w:themeColor="text1"/>
          <w:sz w:val="24"/>
          <w:szCs w:val="24"/>
        </w:rPr>
        <w:br/>
      </w:r>
      <w:r w:rsidRPr="00E36734">
        <w:rPr>
          <w:rFonts w:ascii="Times New Roman" w:eastAsia="Microsoft JhengHei UI" w:hAnsi="Times New Roman" w:cs="Times New Roman"/>
          <w:b/>
          <w:bCs/>
          <w:i/>
          <w:iCs/>
          <w:color w:val="000000" w:themeColor="text1"/>
          <w:sz w:val="24"/>
          <w:szCs w:val="24"/>
        </w:rPr>
        <w:t>-Βάση: Όσοι δηλώνουν ότι το ύψος της ενίσχυσης δεν ήταν αρκετό-</w:t>
      </w:r>
    </w:p>
    <w:p w14:paraId="125B6D2C" w14:textId="35EC3F3E" w:rsidR="004622B0" w:rsidRPr="00E36734" w:rsidRDefault="00EA66B6" w:rsidP="00143079">
      <w:pPr>
        <w:spacing w:after="0" w:line="360" w:lineRule="auto"/>
        <w:jc w:val="both"/>
        <w:rPr>
          <w:rFonts w:ascii="Times New Roman" w:eastAsia="Times New Roman" w:hAnsi="Times New Roman" w:cs="Times New Roman"/>
          <w:b/>
          <w:sz w:val="24"/>
          <w:szCs w:val="24"/>
          <w:lang w:eastAsia="el-GR"/>
        </w:rPr>
      </w:pPr>
      <w:r w:rsidRPr="00E36734">
        <w:rPr>
          <w:noProof/>
          <w:lang w:eastAsia="el-GR"/>
        </w:rPr>
        <mc:AlternateContent>
          <mc:Choice Requires="wps">
            <w:drawing>
              <wp:anchor distT="0" distB="0" distL="114300" distR="114300" simplePos="0" relativeHeight="251657216" behindDoc="0" locked="0" layoutInCell="1" allowOverlap="1" wp14:anchorId="50366667" wp14:editId="267EC3D7">
                <wp:simplePos x="0" y="0"/>
                <wp:positionH relativeFrom="column">
                  <wp:posOffset>4191000</wp:posOffset>
                </wp:positionH>
                <wp:positionV relativeFrom="paragraph">
                  <wp:posOffset>2190115</wp:posOffset>
                </wp:positionV>
                <wp:extent cx="1872208" cy="449580"/>
                <wp:effectExtent l="0" t="0" r="13970" b="26670"/>
                <wp:wrapNone/>
                <wp:docPr id="33" name="TextBox 1"/>
                <wp:cNvGraphicFramePr/>
                <a:graphic xmlns:a="http://schemas.openxmlformats.org/drawingml/2006/main">
                  <a:graphicData uri="http://schemas.microsoft.com/office/word/2010/wordprocessingShape">
                    <wps:wsp>
                      <wps:cNvSpPr txBox="1"/>
                      <wps:spPr>
                        <a:xfrm>
                          <a:off x="0" y="0"/>
                          <a:ext cx="1872208" cy="449580"/>
                        </a:xfrm>
                        <a:prstGeom prst="rect">
                          <a:avLst/>
                        </a:prstGeom>
                        <a:noFill/>
                        <a:ln>
                          <a:solidFill>
                            <a:sysClr val="windowText" lastClr="000000"/>
                          </a:solidFill>
                        </a:ln>
                      </wps:spPr>
                      <wps:txbx>
                        <w:txbxContent>
                          <w:p w14:paraId="1695F77E" w14:textId="545BB1F8" w:rsidR="00C83512" w:rsidRPr="00EA66B6" w:rsidRDefault="00C83512" w:rsidP="00EA66B6">
                            <w:pPr>
                              <w:textAlignment w:val="baseline"/>
                              <w:rPr>
                                <w:rFonts w:ascii="Microsoft JhengHei UI" w:eastAsia="Microsoft JhengHei UI" w:hAnsi="Microsoft JhengHei UI" w:cs="+mn-cs"/>
                                <w:b/>
                                <w:bCs/>
                                <w:color w:val="000000"/>
                                <w:kern w:val="24"/>
                                <w:sz w:val="32"/>
                                <w:szCs w:val="32"/>
                                <w:lang w:val="en-US"/>
                              </w:rPr>
                            </w:pPr>
                            <w:r>
                              <w:rPr>
                                <w:rFonts w:ascii="Microsoft JhengHei UI" w:eastAsia="Microsoft JhengHei UI" w:hAnsi="Microsoft JhengHei UI" w:cs="+mn-cs" w:hint="eastAsia"/>
                                <w:b/>
                                <w:bCs/>
                                <w:color w:val="000000"/>
                                <w:kern w:val="24"/>
                                <w:sz w:val="32"/>
                                <w:szCs w:val="32"/>
                              </w:rPr>
                              <w:t xml:space="preserve">Μ.Ο.: € </w:t>
                            </w:r>
                            <w:r>
                              <w:rPr>
                                <w:rFonts w:ascii="Microsoft JhengHei UI" w:eastAsia="Microsoft JhengHei UI" w:hAnsi="Microsoft JhengHei UI" w:cs="+mn-cs"/>
                                <w:b/>
                                <w:bCs/>
                                <w:color w:val="000000"/>
                                <w:kern w:val="24"/>
                                <w:sz w:val="32"/>
                                <w:szCs w:val="32"/>
                                <w:lang w:val="en-US"/>
                              </w:rPr>
                              <w:t>32.000</w:t>
                            </w:r>
                          </w:p>
                        </w:txbxContent>
                      </wps:txbx>
                      <wps:bodyPr wrap="square" rtlCol="0">
                        <a:noAutofit/>
                      </wps:bodyPr>
                    </wps:wsp>
                  </a:graphicData>
                </a:graphic>
                <wp14:sizeRelV relativeFrom="margin">
                  <wp14:pctHeight>0</wp14:pctHeight>
                </wp14:sizeRelV>
              </wp:anchor>
            </w:drawing>
          </mc:Choice>
          <mc:Fallback>
            <w:pict>
              <v:shape w14:anchorId="50366667" id="_x0000_s1031" type="#_x0000_t202" style="position:absolute;left:0;text-align:left;margin-left:330pt;margin-top:172.45pt;width:147.4pt;height:35.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" filled="f" strokecolor="windowText">
                <v:textbox>
                  <w:txbxContent>
                    <w:p w14:paraId="1695F77E" w14:textId="545BB1F8" w:rsidR="00C83512" w:rsidRPr="00EA66B6" w:rsidRDefault="00C83512" w:rsidP="00EA66B6">
                      <w:pPr>
                        <w:textAlignment w:val="baseline"/>
                        <w:rPr>
                          <w:rFonts w:ascii="Microsoft JhengHei UI" w:eastAsia="Microsoft JhengHei UI" w:hAnsi="Microsoft JhengHei UI" w:cs="+mn-cs"/>
                          <w:b/>
                          <w:bCs/>
                          <w:color w:val="000000"/>
                          <w:kern w:val="24"/>
                          <w:sz w:val="32"/>
                          <w:szCs w:val="32"/>
                          <w:lang w:val="en-US"/>
                        </w:rPr>
                      </w:pPr>
                      <w:r>
                        <w:rPr>
                          <w:rFonts w:ascii="Microsoft JhengHei UI" w:eastAsia="Microsoft JhengHei UI" w:hAnsi="Microsoft JhengHei UI" w:cs="+mn-cs" w:hint="eastAsia"/>
                          <w:b/>
                          <w:bCs/>
                          <w:color w:val="000000"/>
                          <w:kern w:val="24"/>
                          <w:sz w:val="32"/>
                          <w:szCs w:val="32"/>
                        </w:rPr>
                        <w:t xml:space="preserve">Μ.Ο.: € </w:t>
                      </w:r>
                      <w:r>
                        <w:rPr>
                          <w:rFonts w:ascii="Microsoft JhengHei UI" w:eastAsia="Microsoft JhengHei UI" w:hAnsi="Microsoft JhengHei UI" w:cs="+mn-cs"/>
                          <w:b/>
                          <w:bCs/>
                          <w:color w:val="000000"/>
                          <w:kern w:val="24"/>
                          <w:sz w:val="32"/>
                          <w:szCs w:val="32"/>
                          <w:lang w:val="en-US"/>
                        </w:rPr>
                        <w:t>32.000</w:t>
                      </w:r>
                    </w:p>
                  </w:txbxContent>
                </v:textbox>
              </v:shape>
            </w:pict>
          </mc:Fallback>
        </mc:AlternateContent>
      </w:r>
      <w:r w:rsidRPr="00E36734">
        <w:rPr>
          <w:rFonts w:ascii="Times New Roman" w:eastAsia="Times New Roman" w:hAnsi="Times New Roman" w:cs="Times New Roman"/>
          <w:b/>
          <w:noProof/>
          <w:sz w:val="24"/>
          <w:szCs w:val="24"/>
          <w:lang w:eastAsia="el-GR"/>
        </w:rPr>
        <w:drawing>
          <wp:inline distT="0" distB="0" distL="0" distR="0" wp14:anchorId="0C80B3A2" wp14:editId="4CC9E060">
            <wp:extent cx="6570980" cy="3634740"/>
            <wp:effectExtent l="0" t="0" r="1270" b="3810"/>
            <wp:docPr id="32" name="Γράφημα 32">
              <a:extLst xmlns:a="http://schemas.openxmlformats.org/drawingml/2006/main">
                <a:ext uri="{FF2B5EF4-FFF2-40B4-BE49-F238E27FC236}">
                  <a16:creationId xmlns:a16="http://schemas.microsoft.com/office/drawing/2014/main" id="{CD2B5132-1EA9-4FAD-879F-3794F2E05B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343045E" w14:textId="4B04F5BC" w:rsidR="00C91692" w:rsidRPr="00E36734" w:rsidRDefault="00C91692" w:rsidP="00143079">
      <w:pPr>
        <w:spacing w:after="0" w:line="360" w:lineRule="auto"/>
        <w:jc w:val="both"/>
        <w:rPr>
          <w:rFonts w:ascii="Times New Roman" w:eastAsia="Times New Roman" w:hAnsi="Times New Roman" w:cs="Times New Roman"/>
          <w:b/>
          <w:sz w:val="24"/>
          <w:szCs w:val="24"/>
          <w:lang w:eastAsia="el-GR"/>
        </w:rPr>
      </w:pPr>
    </w:p>
    <w:p w14:paraId="185407BD" w14:textId="6AB99A5A" w:rsidR="00C91692" w:rsidRPr="00E36734" w:rsidRDefault="00C91692" w:rsidP="00143079">
      <w:pPr>
        <w:spacing w:after="0" w:line="360" w:lineRule="auto"/>
        <w:jc w:val="both"/>
        <w:rPr>
          <w:rFonts w:ascii="Times New Roman" w:eastAsia="Times New Roman" w:hAnsi="Times New Roman" w:cs="Times New Roman"/>
          <w:b/>
          <w:sz w:val="24"/>
          <w:szCs w:val="24"/>
          <w:lang w:eastAsia="el-GR"/>
        </w:rPr>
      </w:pPr>
    </w:p>
    <w:p w14:paraId="7AF3FBE4" w14:textId="17CAA73C" w:rsidR="002308D0" w:rsidRPr="00E36734" w:rsidRDefault="002308D0" w:rsidP="00487FB4">
      <w:pPr>
        <w:spacing w:after="0" w:line="240" w:lineRule="auto"/>
        <w:jc w:val="center"/>
        <w:rPr>
          <w:rFonts w:ascii="Times New Roman" w:eastAsia="Times New Roman" w:hAnsi="Times New Roman" w:cs="Times New Roman"/>
          <w:b/>
          <w:sz w:val="24"/>
          <w:szCs w:val="24"/>
          <w:lang w:val="en-US" w:eastAsia="el-GR"/>
        </w:rPr>
      </w:pPr>
      <w:r w:rsidRPr="00E36734">
        <w:rPr>
          <w:rFonts w:ascii="Times New Roman" w:eastAsia="Times New Roman" w:hAnsi="Times New Roman" w:cs="Times New Roman"/>
          <w:b/>
          <w:sz w:val="24"/>
          <w:szCs w:val="24"/>
          <w:lang w:eastAsia="el-GR"/>
        </w:rPr>
        <w:t>ΠΑΡΑΡΤΗΜΑ – ΣΥΝΘΕΣΗ ΔΕΙΓΜΑΤΟΣ</w:t>
      </w:r>
    </w:p>
    <w:p w14:paraId="7D1357EE" w14:textId="77777777" w:rsidR="00143079" w:rsidRPr="00E36734" w:rsidRDefault="00143079" w:rsidP="00143079">
      <w:pPr>
        <w:spacing w:after="0" w:line="240" w:lineRule="auto"/>
        <w:jc w:val="both"/>
        <w:rPr>
          <w:rFonts w:ascii="Times New Roman" w:eastAsia="Times New Roman" w:hAnsi="Times New Roman" w:cs="Times New Roman"/>
          <w:b/>
          <w:sz w:val="24"/>
          <w:szCs w:val="24"/>
          <w:lang w:eastAsia="el-GR"/>
        </w:rPr>
      </w:pPr>
    </w:p>
    <w:tbl>
      <w:tblPr>
        <w:tblW w:w="5000" w:type="pct"/>
        <w:tblCellMar>
          <w:left w:w="0" w:type="dxa"/>
          <w:right w:w="0" w:type="dxa"/>
        </w:tblCellMar>
        <w:tblLook w:val="0600" w:firstRow="0" w:lastRow="0" w:firstColumn="0" w:lastColumn="0" w:noHBand="1" w:noVBand="1"/>
      </w:tblPr>
      <w:tblGrid>
        <w:gridCol w:w="3885"/>
        <w:gridCol w:w="4679"/>
        <w:gridCol w:w="1811"/>
      </w:tblGrid>
      <w:tr w:rsidR="00487FB4" w:rsidRPr="00E36734" w14:paraId="3391A566" w14:textId="77777777" w:rsidTr="00487FB4">
        <w:trPr>
          <w:trHeight w:val="406"/>
        </w:trPr>
        <w:tc>
          <w:tcPr>
            <w:tcW w:w="1872"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DD910E0" w14:textId="77777777" w:rsidR="00487FB4" w:rsidRPr="00E36734" w:rsidRDefault="00487FB4" w:rsidP="00487FB4">
            <w:pPr>
              <w:spacing w:after="0" w:line="240" w:lineRule="auto"/>
              <w:jc w:val="center"/>
              <w:textAlignment w:val="top"/>
              <w:rPr>
                <w:rFonts w:ascii="Microsoft JhengHei UI" w:eastAsia="Microsoft JhengHei UI" w:hAnsi="Microsoft JhengHei UI" w:cs="Arial"/>
                <w:color w:val="000000"/>
                <w:kern w:val="24"/>
                <w:sz w:val="16"/>
                <w:szCs w:val="16"/>
              </w:rPr>
            </w:pPr>
          </w:p>
          <w:p w14:paraId="1C7C5C66" w14:textId="77777777" w:rsidR="00487FB4" w:rsidRPr="00E36734" w:rsidRDefault="00487FB4" w:rsidP="00487FB4">
            <w:pPr>
              <w:spacing w:after="0" w:line="240" w:lineRule="auto"/>
              <w:jc w:val="center"/>
              <w:textAlignment w:val="top"/>
              <w:rPr>
                <w:rFonts w:ascii="Microsoft JhengHei UI" w:eastAsia="Microsoft JhengHei UI" w:hAnsi="Microsoft JhengHei UI" w:cs="Arial"/>
                <w:color w:val="000000"/>
                <w:kern w:val="24"/>
                <w:sz w:val="16"/>
                <w:szCs w:val="16"/>
              </w:rPr>
            </w:pPr>
          </w:p>
          <w:p w14:paraId="0B9BC497" w14:textId="01AE3B2F" w:rsidR="00487FB4" w:rsidRPr="00E36734" w:rsidRDefault="00487FB4" w:rsidP="00487FB4">
            <w:pPr>
              <w:spacing w:after="0" w:line="240" w:lineRule="auto"/>
              <w:jc w:val="center"/>
              <w:textAlignment w:val="top"/>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ΚΛΑΔΟΣ</w:t>
            </w: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1D18D46"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 xml:space="preserve">Εμπόριο </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F25AE05"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37</w:t>
            </w:r>
          </w:p>
        </w:tc>
      </w:tr>
      <w:tr w:rsidR="00487FB4" w:rsidRPr="00E36734" w14:paraId="5393D29C" w14:textId="77777777" w:rsidTr="00487FB4">
        <w:trPr>
          <w:trHeight w:val="316"/>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7582FAA4"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CD65572"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Μεταποίηση</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598D79A"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24.2</w:t>
            </w:r>
          </w:p>
        </w:tc>
      </w:tr>
      <w:tr w:rsidR="00487FB4" w:rsidRPr="00E36734" w14:paraId="09181A04" w14:textId="77777777" w:rsidTr="00487FB4">
        <w:trPr>
          <w:trHeight w:val="334"/>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69039631"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9A5C8BE"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 xml:space="preserve">Υπηρεσίες </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812ECEC"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38.8</w:t>
            </w:r>
          </w:p>
        </w:tc>
      </w:tr>
      <w:tr w:rsidR="00487FB4" w:rsidRPr="00E36734" w14:paraId="7C17A2BE" w14:textId="77777777" w:rsidTr="00487FB4">
        <w:trPr>
          <w:trHeight w:val="316"/>
        </w:trPr>
        <w:tc>
          <w:tcPr>
            <w:tcW w:w="1872"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1434D09" w14:textId="77777777" w:rsidR="00487FB4" w:rsidRPr="00E36734" w:rsidRDefault="00487FB4" w:rsidP="00487FB4">
            <w:pPr>
              <w:spacing w:after="0" w:line="240" w:lineRule="auto"/>
              <w:jc w:val="center"/>
              <w:textAlignment w:val="top"/>
              <w:rPr>
                <w:rFonts w:ascii="Microsoft JhengHei UI" w:eastAsia="Microsoft JhengHei UI" w:hAnsi="Microsoft JhengHei UI" w:cs="Arial"/>
                <w:color w:val="000000"/>
                <w:kern w:val="24"/>
                <w:sz w:val="16"/>
                <w:szCs w:val="16"/>
              </w:rPr>
            </w:pPr>
          </w:p>
          <w:p w14:paraId="1FC60E85" w14:textId="77777777" w:rsidR="00487FB4" w:rsidRPr="00E36734" w:rsidRDefault="00487FB4" w:rsidP="00487FB4">
            <w:pPr>
              <w:spacing w:after="0" w:line="240" w:lineRule="auto"/>
              <w:jc w:val="center"/>
              <w:textAlignment w:val="top"/>
              <w:rPr>
                <w:rFonts w:ascii="Microsoft JhengHei UI" w:eastAsia="Microsoft JhengHei UI" w:hAnsi="Microsoft JhengHei UI" w:cs="Arial"/>
                <w:color w:val="000000"/>
                <w:kern w:val="24"/>
                <w:sz w:val="16"/>
                <w:szCs w:val="16"/>
              </w:rPr>
            </w:pPr>
          </w:p>
          <w:p w14:paraId="6B890F7E" w14:textId="77777777" w:rsidR="00487FB4" w:rsidRPr="00E36734" w:rsidRDefault="00487FB4" w:rsidP="00487FB4">
            <w:pPr>
              <w:spacing w:after="0" w:line="240" w:lineRule="auto"/>
              <w:jc w:val="center"/>
              <w:textAlignment w:val="top"/>
              <w:rPr>
                <w:rFonts w:ascii="Microsoft JhengHei UI" w:eastAsia="Microsoft JhengHei UI" w:hAnsi="Microsoft JhengHei UI" w:cs="Arial"/>
                <w:color w:val="000000"/>
                <w:kern w:val="24"/>
                <w:sz w:val="16"/>
                <w:szCs w:val="16"/>
              </w:rPr>
            </w:pPr>
          </w:p>
          <w:p w14:paraId="7CAABDBA" w14:textId="24436AEC" w:rsidR="00487FB4" w:rsidRPr="00E36734" w:rsidRDefault="00487FB4" w:rsidP="00487FB4">
            <w:pPr>
              <w:spacing w:after="0" w:line="240" w:lineRule="auto"/>
              <w:jc w:val="center"/>
              <w:textAlignment w:val="top"/>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ΑΡΙΘΜΟΣ ΕΡΓΑΖΟΜΕΝΩΝ</w:t>
            </w: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D3D8434"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Χωρίς προσωπικό</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C058DA3"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32.2</w:t>
            </w:r>
          </w:p>
        </w:tc>
      </w:tr>
      <w:tr w:rsidR="00487FB4" w:rsidRPr="00E36734" w14:paraId="2E8E0A45" w14:textId="77777777" w:rsidTr="00487FB4">
        <w:trPr>
          <w:trHeight w:val="337"/>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31CB4F08"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FA3B10F"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1 άτομο</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5CC6D69"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18.6</w:t>
            </w:r>
          </w:p>
        </w:tc>
      </w:tr>
      <w:tr w:rsidR="00487FB4" w:rsidRPr="00E36734" w14:paraId="24F3D3A0" w14:textId="77777777" w:rsidTr="00487FB4">
        <w:trPr>
          <w:trHeight w:val="319"/>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1A2CCA97"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364CE4F"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2-3 άτομα</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D4B832B"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20.3</w:t>
            </w:r>
          </w:p>
        </w:tc>
      </w:tr>
      <w:tr w:rsidR="00487FB4" w:rsidRPr="00E36734" w14:paraId="64E717F8" w14:textId="77777777" w:rsidTr="00487FB4">
        <w:trPr>
          <w:trHeight w:val="337"/>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390A7425"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116932B"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4-5 άτομα</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A18CFC2"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9.6</w:t>
            </w:r>
          </w:p>
        </w:tc>
      </w:tr>
      <w:tr w:rsidR="00487FB4" w:rsidRPr="00E36734" w14:paraId="1FAC04D1" w14:textId="77777777" w:rsidTr="00487FB4">
        <w:trPr>
          <w:trHeight w:val="319"/>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108F84C6"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CE5672F"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Πάνω από 5 άτομα</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7B46C50"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19</w:t>
            </w:r>
          </w:p>
        </w:tc>
      </w:tr>
      <w:tr w:rsidR="00487FB4" w:rsidRPr="00E36734" w14:paraId="51AC84EA" w14:textId="77777777" w:rsidTr="00487FB4">
        <w:trPr>
          <w:trHeight w:val="337"/>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254191E8"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F872BCC"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ΔΑ</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FA82BFD"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0.3</w:t>
            </w:r>
          </w:p>
        </w:tc>
      </w:tr>
      <w:tr w:rsidR="00487FB4" w:rsidRPr="00E36734" w14:paraId="304BCDB6" w14:textId="77777777" w:rsidTr="00487FB4">
        <w:trPr>
          <w:trHeight w:val="316"/>
        </w:trPr>
        <w:tc>
          <w:tcPr>
            <w:tcW w:w="1872"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310C6B" w14:textId="77777777" w:rsidR="00487FB4" w:rsidRPr="00E36734" w:rsidRDefault="00487FB4" w:rsidP="00487FB4">
            <w:pPr>
              <w:spacing w:after="0" w:line="240" w:lineRule="auto"/>
              <w:jc w:val="center"/>
              <w:textAlignment w:val="top"/>
              <w:rPr>
                <w:rFonts w:ascii="Microsoft JhengHei UI" w:eastAsia="Microsoft JhengHei UI" w:hAnsi="Microsoft JhengHei UI" w:cs="Arial"/>
                <w:color w:val="000000"/>
                <w:kern w:val="24"/>
                <w:sz w:val="16"/>
                <w:szCs w:val="16"/>
              </w:rPr>
            </w:pPr>
          </w:p>
          <w:p w14:paraId="28720446" w14:textId="77777777" w:rsidR="00487FB4" w:rsidRPr="00E36734" w:rsidRDefault="00487FB4" w:rsidP="00487FB4">
            <w:pPr>
              <w:spacing w:after="0" w:line="240" w:lineRule="auto"/>
              <w:jc w:val="center"/>
              <w:textAlignment w:val="top"/>
              <w:rPr>
                <w:rFonts w:ascii="Microsoft JhengHei UI" w:eastAsia="Microsoft JhengHei UI" w:hAnsi="Microsoft JhengHei UI" w:cs="Arial"/>
                <w:color w:val="000000"/>
                <w:kern w:val="24"/>
                <w:sz w:val="16"/>
                <w:szCs w:val="16"/>
              </w:rPr>
            </w:pPr>
          </w:p>
          <w:p w14:paraId="5145E6A5" w14:textId="77777777" w:rsidR="00487FB4" w:rsidRPr="00E36734" w:rsidRDefault="00487FB4" w:rsidP="00487FB4">
            <w:pPr>
              <w:spacing w:after="0" w:line="240" w:lineRule="auto"/>
              <w:jc w:val="center"/>
              <w:textAlignment w:val="top"/>
              <w:rPr>
                <w:rFonts w:ascii="Microsoft JhengHei UI" w:eastAsia="Microsoft JhengHei UI" w:hAnsi="Microsoft JhengHei UI" w:cs="Arial"/>
                <w:color w:val="000000"/>
                <w:kern w:val="24"/>
                <w:sz w:val="16"/>
                <w:szCs w:val="16"/>
              </w:rPr>
            </w:pPr>
          </w:p>
          <w:p w14:paraId="3685055E" w14:textId="77777777" w:rsidR="00487FB4" w:rsidRPr="00E36734" w:rsidRDefault="00487FB4" w:rsidP="00487FB4">
            <w:pPr>
              <w:spacing w:after="0" w:line="240" w:lineRule="auto"/>
              <w:jc w:val="center"/>
              <w:textAlignment w:val="top"/>
              <w:rPr>
                <w:rFonts w:ascii="Microsoft JhengHei UI" w:eastAsia="Microsoft JhengHei UI" w:hAnsi="Microsoft JhengHei UI" w:cs="Arial"/>
                <w:color w:val="000000"/>
                <w:kern w:val="24"/>
                <w:sz w:val="16"/>
                <w:szCs w:val="16"/>
              </w:rPr>
            </w:pPr>
          </w:p>
          <w:p w14:paraId="6273F673" w14:textId="7EDE703E" w:rsidR="00487FB4" w:rsidRPr="00E36734" w:rsidRDefault="00487FB4" w:rsidP="00487FB4">
            <w:pPr>
              <w:spacing w:after="0" w:line="240" w:lineRule="auto"/>
              <w:jc w:val="center"/>
              <w:textAlignment w:val="top"/>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ΕΤΗ ΛΕΙΤΟΥΡΓΙΑΣ</w:t>
            </w: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5C273C5"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 xml:space="preserve">έως 5 χρόνια </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FE005CF"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6.9</w:t>
            </w:r>
          </w:p>
        </w:tc>
      </w:tr>
      <w:tr w:rsidR="00487FB4" w:rsidRPr="00E36734" w14:paraId="390032FC" w14:textId="77777777" w:rsidTr="00487FB4">
        <w:trPr>
          <w:trHeight w:val="334"/>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671F8E17" w14:textId="77777777" w:rsidR="00487FB4" w:rsidRPr="00E36734" w:rsidRDefault="00487FB4" w:rsidP="00487FB4">
            <w:pPr>
              <w:spacing w:after="0" w:line="240" w:lineRule="auto"/>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09AF36E"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 xml:space="preserve">5-10 χρόνια </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3798C18"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8.4</w:t>
            </w:r>
          </w:p>
        </w:tc>
      </w:tr>
      <w:tr w:rsidR="00487FB4" w:rsidRPr="00E36734" w14:paraId="435A62A7" w14:textId="77777777" w:rsidTr="00487FB4">
        <w:trPr>
          <w:trHeight w:val="226"/>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57B0C536" w14:textId="77777777" w:rsidR="00487FB4" w:rsidRPr="00E36734" w:rsidRDefault="00487FB4" w:rsidP="00487FB4">
            <w:pPr>
              <w:spacing w:after="0" w:line="240" w:lineRule="auto"/>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38A9663"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 xml:space="preserve">10-15 χρόνια </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6B831C6"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8.7</w:t>
            </w:r>
          </w:p>
        </w:tc>
      </w:tr>
      <w:tr w:rsidR="00487FB4" w:rsidRPr="00E36734" w14:paraId="24B45EA1" w14:textId="77777777" w:rsidTr="00487FB4">
        <w:trPr>
          <w:trHeight w:val="199"/>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7D8785D1" w14:textId="77777777" w:rsidR="00487FB4" w:rsidRPr="00E36734" w:rsidRDefault="00487FB4" w:rsidP="00487FB4">
            <w:pPr>
              <w:spacing w:after="0" w:line="240" w:lineRule="auto"/>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325AB5F"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Πάνω από 15 χρόνια</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72C2C82"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75.7</w:t>
            </w:r>
          </w:p>
        </w:tc>
      </w:tr>
      <w:tr w:rsidR="00487FB4" w:rsidRPr="00E36734" w14:paraId="16809A5E" w14:textId="77777777" w:rsidTr="00487FB4">
        <w:trPr>
          <w:trHeight w:val="262"/>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369F1371" w14:textId="77777777" w:rsidR="00487FB4" w:rsidRPr="00E36734" w:rsidRDefault="00487FB4" w:rsidP="00487FB4">
            <w:pPr>
              <w:spacing w:after="0" w:line="240" w:lineRule="auto"/>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B99E6F"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rPr>
              <w:t>ΔΑ</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EFFCDA2"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0.3</w:t>
            </w:r>
          </w:p>
        </w:tc>
      </w:tr>
      <w:tr w:rsidR="00487FB4" w:rsidRPr="00E36734" w14:paraId="6743887C" w14:textId="77777777" w:rsidTr="00487FB4">
        <w:trPr>
          <w:trHeight w:val="453"/>
        </w:trPr>
        <w:tc>
          <w:tcPr>
            <w:tcW w:w="1872"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12B88BCB" w14:textId="77777777" w:rsidR="00487FB4" w:rsidRPr="00E36734" w:rsidRDefault="00487FB4" w:rsidP="00487FB4">
            <w:pPr>
              <w:spacing w:after="0" w:line="240" w:lineRule="auto"/>
              <w:jc w:val="center"/>
              <w:textAlignment w:val="top"/>
              <w:rPr>
                <w:rFonts w:ascii="Microsoft JhengHei UI" w:eastAsia="Microsoft JhengHei UI" w:hAnsi="Microsoft JhengHei UI" w:cs="Microsoft Sans Serif"/>
                <w:color w:val="000000"/>
                <w:kern w:val="24"/>
                <w:sz w:val="16"/>
                <w:szCs w:val="16"/>
              </w:rPr>
            </w:pPr>
          </w:p>
          <w:p w14:paraId="0916E8C7" w14:textId="77777777" w:rsidR="00487FB4" w:rsidRPr="00E36734" w:rsidRDefault="00487FB4" w:rsidP="00487FB4">
            <w:pPr>
              <w:spacing w:after="0" w:line="240" w:lineRule="auto"/>
              <w:jc w:val="center"/>
              <w:textAlignment w:val="top"/>
              <w:rPr>
                <w:rFonts w:ascii="Microsoft JhengHei UI" w:eastAsia="Microsoft JhengHei UI" w:hAnsi="Microsoft JhengHei UI" w:cs="Microsoft Sans Serif"/>
                <w:color w:val="000000"/>
                <w:kern w:val="24"/>
                <w:sz w:val="16"/>
                <w:szCs w:val="16"/>
              </w:rPr>
            </w:pPr>
          </w:p>
          <w:p w14:paraId="6C00E2DC" w14:textId="77777777" w:rsidR="00487FB4" w:rsidRPr="00E36734" w:rsidRDefault="00487FB4" w:rsidP="00487FB4">
            <w:pPr>
              <w:spacing w:after="0" w:line="240" w:lineRule="auto"/>
              <w:jc w:val="center"/>
              <w:textAlignment w:val="top"/>
              <w:rPr>
                <w:rFonts w:ascii="Microsoft JhengHei UI" w:eastAsia="Microsoft JhengHei UI" w:hAnsi="Microsoft JhengHei UI" w:cs="Microsoft Sans Serif"/>
                <w:color w:val="000000"/>
                <w:kern w:val="24"/>
                <w:sz w:val="16"/>
                <w:szCs w:val="16"/>
              </w:rPr>
            </w:pPr>
          </w:p>
          <w:p w14:paraId="5C010B53" w14:textId="77777777" w:rsidR="00487FB4" w:rsidRPr="00E36734" w:rsidRDefault="00487FB4" w:rsidP="00487FB4">
            <w:pPr>
              <w:spacing w:after="0" w:line="240" w:lineRule="auto"/>
              <w:jc w:val="center"/>
              <w:textAlignment w:val="top"/>
              <w:rPr>
                <w:rFonts w:ascii="Microsoft JhengHei UI" w:eastAsia="Microsoft JhengHei UI" w:hAnsi="Microsoft JhengHei UI" w:cs="Microsoft Sans Serif"/>
                <w:color w:val="000000"/>
                <w:kern w:val="24"/>
                <w:sz w:val="16"/>
                <w:szCs w:val="16"/>
              </w:rPr>
            </w:pPr>
          </w:p>
          <w:p w14:paraId="6B5CC79D" w14:textId="77777777" w:rsidR="00487FB4" w:rsidRPr="00E36734" w:rsidRDefault="00487FB4" w:rsidP="00487FB4">
            <w:pPr>
              <w:spacing w:after="0" w:line="240" w:lineRule="auto"/>
              <w:jc w:val="center"/>
              <w:textAlignment w:val="top"/>
              <w:rPr>
                <w:rFonts w:ascii="Microsoft JhengHei UI" w:eastAsia="Microsoft JhengHei UI" w:hAnsi="Microsoft JhengHei UI" w:cs="Microsoft Sans Serif"/>
                <w:color w:val="000000"/>
                <w:kern w:val="24"/>
                <w:sz w:val="16"/>
                <w:szCs w:val="16"/>
              </w:rPr>
            </w:pPr>
          </w:p>
          <w:p w14:paraId="2421E7FE" w14:textId="2F1C4A57" w:rsidR="00487FB4" w:rsidRPr="00E36734" w:rsidRDefault="00487FB4" w:rsidP="00487FB4">
            <w:pPr>
              <w:spacing w:after="0" w:line="240" w:lineRule="auto"/>
              <w:jc w:val="center"/>
              <w:textAlignment w:val="top"/>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ΤΖΙΡΟΣ 2020</w:t>
            </w: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3CDD32A"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Κάτω από 50.000</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A2ACE92"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44.6</w:t>
            </w:r>
          </w:p>
        </w:tc>
      </w:tr>
      <w:tr w:rsidR="00487FB4" w:rsidRPr="00E36734" w14:paraId="5C09E40F"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24D7E7E6"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9E816C9"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50 έως 100.000</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7BEC149"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18.6</w:t>
            </w:r>
          </w:p>
        </w:tc>
      </w:tr>
      <w:tr w:rsidR="00487FB4" w:rsidRPr="00E36734" w14:paraId="565B4793"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027F0BCA"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EF3ECEB"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100-300.000</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ED4D77A"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14.4</w:t>
            </w:r>
          </w:p>
        </w:tc>
      </w:tr>
      <w:tr w:rsidR="00487FB4" w:rsidRPr="00E36734" w14:paraId="0161AC77"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06D5AD98"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E7155DE"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300-500.000</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CF80195"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5.7</w:t>
            </w:r>
          </w:p>
        </w:tc>
      </w:tr>
      <w:tr w:rsidR="00487FB4" w:rsidRPr="00E36734" w14:paraId="360A75AA"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1B22041C"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3046677"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500 -1.000.000</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ADB9C5D"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4.2</w:t>
            </w:r>
          </w:p>
        </w:tc>
      </w:tr>
      <w:tr w:rsidR="00487FB4" w:rsidRPr="00E36734" w14:paraId="2E602828"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4A50D3B3"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9D644CF"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Πάνω από 1.000.0000</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C1A7750"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7.2</w:t>
            </w:r>
          </w:p>
        </w:tc>
      </w:tr>
      <w:tr w:rsidR="00487FB4" w:rsidRPr="00E36734" w14:paraId="2CF0B9F5"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39F1562E"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A83FFC5"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ΔΑ</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4F81956"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5.3</w:t>
            </w:r>
          </w:p>
        </w:tc>
      </w:tr>
      <w:tr w:rsidR="00487FB4" w:rsidRPr="00E36734" w14:paraId="24476007" w14:textId="77777777" w:rsidTr="00487FB4">
        <w:trPr>
          <w:trHeight w:val="453"/>
        </w:trPr>
        <w:tc>
          <w:tcPr>
            <w:tcW w:w="1872"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2778BC4A" w14:textId="77777777" w:rsidR="00487FB4" w:rsidRPr="00E36734" w:rsidRDefault="00487FB4" w:rsidP="00487FB4">
            <w:pPr>
              <w:spacing w:after="0" w:line="240" w:lineRule="auto"/>
              <w:jc w:val="center"/>
              <w:textAlignment w:val="top"/>
              <w:rPr>
                <w:rFonts w:ascii="Microsoft JhengHei UI" w:eastAsia="Microsoft JhengHei UI" w:hAnsi="Microsoft JhengHei UI" w:cs="Microsoft Sans Serif"/>
                <w:color w:val="000000"/>
                <w:kern w:val="24"/>
                <w:sz w:val="16"/>
                <w:szCs w:val="16"/>
              </w:rPr>
            </w:pPr>
          </w:p>
          <w:p w14:paraId="60412E5C" w14:textId="77777777" w:rsidR="00487FB4" w:rsidRPr="00E36734" w:rsidRDefault="00487FB4" w:rsidP="00487FB4">
            <w:pPr>
              <w:spacing w:after="0" w:line="240" w:lineRule="auto"/>
              <w:jc w:val="center"/>
              <w:textAlignment w:val="top"/>
              <w:rPr>
                <w:rFonts w:ascii="Microsoft JhengHei UI" w:eastAsia="Microsoft JhengHei UI" w:hAnsi="Microsoft JhengHei UI" w:cs="Microsoft Sans Serif"/>
                <w:color w:val="000000"/>
                <w:kern w:val="24"/>
                <w:sz w:val="16"/>
                <w:szCs w:val="16"/>
              </w:rPr>
            </w:pPr>
          </w:p>
          <w:p w14:paraId="6C838C39" w14:textId="77777777" w:rsidR="00487FB4" w:rsidRPr="00E36734" w:rsidRDefault="00487FB4" w:rsidP="00487FB4">
            <w:pPr>
              <w:spacing w:after="0" w:line="240" w:lineRule="auto"/>
              <w:jc w:val="center"/>
              <w:textAlignment w:val="top"/>
              <w:rPr>
                <w:rFonts w:ascii="Microsoft JhengHei UI" w:eastAsia="Microsoft JhengHei UI" w:hAnsi="Microsoft JhengHei UI" w:cs="Microsoft Sans Serif"/>
                <w:color w:val="000000"/>
                <w:kern w:val="24"/>
                <w:sz w:val="16"/>
                <w:szCs w:val="16"/>
              </w:rPr>
            </w:pPr>
          </w:p>
          <w:p w14:paraId="2A1AAAF2" w14:textId="3F9C5C09" w:rsidR="00487FB4" w:rsidRPr="00E36734" w:rsidRDefault="00487FB4" w:rsidP="00487FB4">
            <w:pPr>
              <w:spacing w:after="0" w:line="240" w:lineRule="auto"/>
              <w:jc w:val="center"/>
              <w:textAlignment w:val="top"/>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ΠΕΡΙΟΧΗ</w:t>
            </w: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C1CCF91"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lang w:val="en-US"/>
              </w:rPr>
              <w:t xml:space="preserve">EL3 </w:t>
            </w:r>
            <w:r w:rsidRPr="00E36734">
              <w:rPr>
                <w:rFonts w:ascii="Microsoft JhengHei UI" w:eastAsia="Microsoft JhengHei UI" w:hAnsi="Microsoft JhengHei UI" w:cs="Microsoft Sans Serif" w:hint="eastAsia"/>
                <w:color w:val="000000"/>
                <w:kern w:val="24"/>
                <w:sz w:val="16"/>
                <w:szCs w:val="16"/>
              </w:rPr>
              <w:t>ΑΤΤΙΚΗ</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853DCB8"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36.6</w:t>
            </w:r>
          </w:p>
        </w:tc>
      </w:tr>
      <w:tr w:rsidR="00487FB4" w:rsidRPr="00E36734" w14:paraId="523490BB"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613BB692"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AD7EA90"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lang w:val="en-US"/>
              </w:rPr>
              <w:t xml:space="preserve">EL4 </w:t>
            </w:r>
            <w:r w:rsidRPr="00E36734">
              <w:rPr>
                <w:rFonts w:ascii="Microsoft JhengHei UI" w:eastAsia="Microsoft JhengHei UI" w:hAnsi="Microsoft JhengHei UI" w:cs="Microsoft Sans Serif" w:hint="eastAsia"/>
                <w:color w:val="000000"/>
                <w:kern w:val="24"/>
                <w:sz w:val="16"/>
                <w:szCs w:val="16"/>
              </w:rPr>
              <w:t>ΝΗΣΙΑ ΑΙΓΑΙΟΥ &amp; ΚΡΗΤΗ</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84E62E3"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13</w:t>
            </w:r>
          </w:p>
        </w:tc>
      </w:tr>
      <w:tr w:rsidR="00487FB4" w:rsidRPr="00E36734" w14:paraId="4B242AAB"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45A12FD9"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3B57079"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lang w:val="en-US"/>
              </w:rPr>
              <w:t xml:space="preserve">EL5 </w:t>
            </w:r>
            <w:r w:rsidRPr="00E36734">
              <w:rPr>
                <w:rFonts w:ascii="Microsoft JhengHei UI" w:eastAsia="Microsoft JhengHei UI" w:hAnsi="Microsoft JhengHei UI" w:cs="Microsoft Sans Serif" w:hint="eastAsia"/>
                <w:color w:val="000000"/>
                <w:kern w:val="24"/>
                <w:sz w:val="16"/>
                <w:szCs w:val="16"/>
              </w:rPr>
              <w:t>ΒΟΡΕΙΑ ΕΛΛΑΔΑ</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2A8A739"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27</w:t>
            </w:r>
          </w:p>
        </w:tc>
      </w:tr>
      <w:tr w:rsidR="00487FB4" w:rsidRPr="00E36734" w14:paraId="35432FC6"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4585D0CA" w14:textId="77777777" w:rsidR="00487FB4" w:rsidRPr="00E36734" w:rsidRDefault="00487FB4" w:rsidP="00487FB4">
            <w:pPr>
              <w:spacing w:after="0" w:line="240" w:lineRule="auto"/>
              <w:jc w:val="center"/>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9A7BA16"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lang w:val="en-US"/>
              </w:rPr>
              <w:t xml:space="preserve">EL6 </w:t>
            </w:r>
            <w:r w:rsidRPr="00E36734">
              <w:rPr>
                <w:rFonts w:ascii="Microsoft JhengHei UI" w:eastAsia="Microsoft JhengHei UI" w:hAnsi="Microsoft JhengHei UI" w:cs="Microsoft Sans Serif" w:hint="eastAsia"/>
                <w:color w:val="000000"/>
                <w:kern w:val="24"/>
                <w:sz w:val="16"/>
                <w:szCs w:val="16"/>
              </w:rPr>
              <w:t>ΚΕΝΤΡΙΚΗ ΕΛΛΑΔΑ</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29ABCA0"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23.5</w:t>
            </w:r>
          </w:p>
        </w:tc>
      </w:tr>
      <w:tr w:rsidR="00487FB4" w:rsidRPr="00E36734" w14:paraId="3D8DAB5B" w14:textId="77777777" w:rsidTr="00487FB4">
        <w:trPr>
          <w:trHeight w:val="453"/>
        </w:trPr>
        <w:tc>
          <w:tcPr>
            <w:tcW w:w="1872" w:type="pct"/>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14:paraId="6A37E98F" w14:textId="77777777" w:rsidR="00487FB4" w:rsidRPr="00E36734" w:rsidRDefault="00487FB4" w:rsidP="00487FB4">
            <w:pPr>
              <w:spacing w:after="0" w:line="240" w:lineRule="auto"/>
              <w:jc w:val="center"/>
              <w:textAlignment w:val="top"/>
              <w:rPr>
                <w:rFonts w:ascii="Microsoft JhengHei UI" w:eastAsia="Microsoft JhengHei UI" w:hAnsi="Microsoft JhengHei UI" w:cs="Microsoft Sans Serif"/>
                <w:color w:val="000000"/>
                <w:kern w:val="24"/>
                <w:sz w:val="16"/>
                <w:szCs w:val="16"/>
              </w:rPr>
            </w:pPr>
          </w:p>
          <w:p w14:paraId="14864B5B" w14:textId="77777777" w:rsidR="00487FB4" w:rsidRPr="00E36734" w:rsidRDefault="00487FB4" w:rsidP="00487FB4">
            <w:pPr>
              <w:spacing w:after="0" w:line="240" w:lineRule="auto"/>
              <w:jc w:val="center"/>
              <w:textAlignment w:val="top"/>
              <w:rPr>
                <w:rFonts w:ascii="Microsoft JhengHei UI" w:eastAsia="Microsoft JhengHei UI" w:hAnsi="Microsoft JhengHei UI" w:cs="Microsoft Sans Serif"/>
                <w:color w:val="000000"/>
                <w:kern w:val="24"/>
                <w:sz w:val="16"/>
                <w:szCs w:val="16"/>
              </w:rPr>
            </w:pPr>
          </w:p>
          <w:p w14:paraId="1457B9AB" w14:textId="77777777" w:rsidR="00487FB4" w:rsidRPr="00E36734" w:rsidRDefault="00487FB4" w:rsidP="00487FB4">
            <w:pPr>
              <w:spacing w:after="0" w:line="240" w:lineRule="auto"/>
              <w:jc w:val="center"/>
              <w:textAlignment w:val="top"/>
              <w:rPr>
                <w:rFonts w:ascii="Microsoft JhengHei UI" w:eastAsia="Microsoft JhengHei UI" w:hAnsi="Microsoft JhengHei UI" w:cs="Microsoft Sans Serif"/>
                <w:color w:val="000000"/>
                <w:kern w:val="24"/>
                <w:sz w:val="16"/>
                <w:szCs w:val="16"/>
              </w:rPr>
            </w:pPr>
          </w:p>
          <w:p w14:paraId="6D8C9D43" w14:textId="7F0595FB" w:rsidR="00487FB4" w:rsidRPr="00E36734" w:rsidRDefault="00487FB4" w:rsidP="00487FB4">
            <w:pPr>
              <w:spacing w:after="0" w:line="240" w:lineRule="auto"/>
              <w:jc w:val="center"/>
              <w:textAlignment w:val="top"/>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ΝΟΜΙΚΗ ΜΟΡΦΗ</w:t>
            </w: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67A077B"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 xml:space="preserve">ΑΕ  </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27DC223"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14</w:t>
            </w:r>
          </w:p>
        </w:tc>
      </w:tr>
      <w:tr w:rsidR="00487FB4" w:rsidRPr="00E36734" w14:paraId="51968DC4"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7EF39873" w14:textId="77777777" w:rsidR="00487FB4" w:rsidRPr="00E36734" w:rsidRDefault="00487FB4" w:rsidP="00487FB4">
            <w:pPr>
              <w:spacing w:after="0" w:line="240" w:lineRule="auto"/>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22C5E2C"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 xml:space="preserve">ΟΕ-ΕΕ </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B25BB7D"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20.5</w:t>
            </w:r>
          </w:p>
        </w:tc>
      </w:tr>
      <w:tr w:rsidR="00487FB4" w:rsidRPr="00E36734" w14:paraId="3D36DED0"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17C96C80" w14:textId="77777777" w:rsidR="00487FB4" w:rsidRPr="00E36734" w:rsidRDefault="00487FB4" w:rsidP="00487FB4">
            <w:pPr>
              <w:spacing w:after="0" w:line="240" w:lineRule="auto"/>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5542B3D"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 xml:space="preserve">ΕΠΕ </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90B9A9A"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5.6</w:t>
            </w:r>
          </w:p>
        </w:tc>
      </w:tr>
      <w:tr w:rsidR="00487FB4" w:rsidRPr="00E36734" w14:paraId="0D9FF100"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7D0E955F" w14:textId="77777777" w:rsidR="00487FB4" w:rsidRPr="00E36734" w:rsidRDefault="00487FB4" w:rsidP="00487FB4">
            <w:pPr>
              <w:spacing w:after="0" w:line="240" w:lineRule="auto"/>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385461D"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 xml:space="preserve">ΙΚΕ </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ADF8FE4"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5.2</w:t>
            </w:r>
          </w:p>
        </w:tc>
      </w:tr>
      <w:tr w:rsidR="00487FB4" w:rsidRPr="00E36734" w14:paraId="21886E8A" w14:textId="77777777" w:rsidTr="00487FB4">
        <w:trPr>
          <w:trHeight w:val="453"/>
        </w:trPr>
        <w:tc>
          <w:tcPr>
            <w:tcW w:w="1872" w:type="pct"/>
            <w:vMerge/>
            <w:tcBorders>
              <w:top w:val="single" w:sz="8" w:space="0" w:color="000000"/>
              <w:left w:val="single" w:sz="8" w:space="0" w:color="000000"/>
              <w:bottom w:val="single" w:sz="8" w:space="0" w:color="000000"/>
              <w:right w:val="single" w:sz="8" w:space="0" w:color="000000"/>
            </w:tcBorders>
            <w:vAlign w:val="center"/>
            <w:hideMark/>
          </w:tcPr>
          <w:p w14:paraId="4BED584D" w14:textId="77777777" w:rsidR="00487FB4" w:rsidRPr="00E36734" w:rsidRDefault="00487FB4" w:rsidP="00487FB4">
            <w:pPr>
              <w:spacing w:after="0" w:line="240" w:lineRule="auto"/>
              <w:rPr>
                <w:rFonts w:ascii="Arial" w:eastAsia="Times New Roman" w:hAnsi="Arial" w:cs="Arial"/>
                <w:sz w:val="16"/>
                <w:szCs w:val="16"/>
                <w:lang w:val="en-US"/>
              </w:rPr>
            </w:pPr>
          </w:p>
        </w:tc>
        <w:tc>
          <w:tcPr>
            <w:tcW w:w="2255"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B6170DD" w14:textId="77777777" w:rsidR="00487FB4" w:rsidRPr="00E36734" w:rsidRDefault="00487FB4" w:rsidP="00487FB4">
            <w:pPr>
              <w:spacing w:after="0" w:line="240" w:lineRule="auto"/>
              <w:textAlignment w:val="center"/>
              <w:rPr>
                <w:rFonts w:ascii="Arial" w:eastAsia="Times New Roman" w:hAnsi="Arial" w:cs="Arial"/>
                <w:sz w:val="16"/>
                <w:szCs w:val="16"/>
                <w:lang w:val="en-US"/>
              </w:rPr>
            </w:pPr>
            <w:r w:rsidRPr="00E36734">
              <w:rPr>
                <w:rFonts w:ascii="Microsoft JhengHei UI" w:eastAsia="Microsoft JhengHei UI" w:hAnsi="Microsoft JhengHei UI" w:cs="Microsoft Sans Serif" w:hint="eastAsia"/>
                <w:color w:val="000000"/>
                <w:kern w:val="24"/>
                <w:sz w:val="16"/>
                <w:szCs w:val="16"/>
              </w:rPr>
              <w:t xml:space="preserve">Ατομική </w:t>
            </w:r>
          </w:p>
        </w:tc>
        <w:tc>
          <w:tcPr>
            <w:tcW w:w="87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433C7E6" w14:textId="77777777" w:rsidR="00487FB4" w:rsidRPr="00E36734" w:rsidRDefault="00487FB4" w:rsidP="00487FB4">
            <w:pPr>
              <w:spacing w:after="0" w:line="240" w:lineRule="auto"/>
              <w:jc w:val="center"/>
              <w:textAlignment w:val="center"/>
              <w:rPr>
                <w:rFonts w:ascii="Arial" w:eastAsia="Times New Roman" w:hAnsi="Arial" w:cs="Arial"/>
                <w:sz w:val="16"/>
                <w:szCs w:val="16"/>
                <w:lang w:val="en-US"/>
              </w:rPr>
            </w:pPr>
            <w:r w:rsidRPr="00E36734">
              <w:rPr>
                <w:rFonts w:ascii="Microsoft JhengHei UI" w:eastAsia="Microsoft JhengHei UI" w:hAnsi="Microsoft JhengHei UI" w:cs="Arial" w:hint="eastAsia"/>
                <w:color w:val="000000"/>
                <w:kern w:val="24"/>
                <w:sz w:val="16"/>
                <w:szCs w:val="16"/>
                <w:lang w:val="en-US"/>
              </w:rPr>
              <w:t>54.6</w:t>
            </w:r>
          </w:p>
        </w:tc>
      </w:tr>
    </w:tbl>
    <w:p w14:paraId="064FECEE" w14:textId="77777777" w:rsidR="00CC546C" w:rsidRPr="00E36734" w:rsidRDefault="00CC546C" w:rsidP="00CC546C">
      <w:pPr>
        <w:spacing w:after="0" w:line="360" w:lineRule="auto"/>
        <w:jc w:val="both"/>
        <w:rPr>
          <w:rFonts w:ascii="Times New Roman" w:eastAsia="Times New Roman" w:hAnsi="Times New Roman" w:cs="Times New Roman"/>
          <w:b/>
          <w:sz w:val="24"/>
          <w:szCs w:val="24"/>
          <w:lang w:eastAsia="el-GR"/>
        </w:rPr>
      </w:pPr>
      <w:r w:rsidRPr="00E36734">
        <w:rPr>
          <w:rFonts w:ascii="Times New Roman" w:eastAsia="Times New Roman" w:hAnsi="Times New Roman" w:cs="Times New Roman"/>
          <w:b/>
          <w:sz w:val="24"/>
          <w:szCs w:val="24"/>
          <w:lang w:eastAsia="el-GR"/>
        </w:rPr>
        <w:lastRenderedPageBreak/>
        <w:t>Η έρευνα υλοποιήθηκε στο πλαίσιο του έργου «Παρεμβάσεις της ΓΣΕΒΕΕ για τη συστηματική παρακολούθηση και πρόγνωση αλλαγών του παραγωγικού και επιχειρηματικού περιβάλλοντος των μικρομεσαίων επιχειρήσεων» με κωδικό ΟΠΣ 5003864. Το έργο συγχρηματοδοτείται από την Ελλάδα και την Ευρωπαϊκή Ένωση (Ευρωπαϊκό Κοινωνικό Ταμείο) μέσω του Επιχειρησιακού Προγράμματος «Ανταγωνιστικότητα, Επιχειρηματικότητα &amp; Καινοτομία 2014-2020».</w:t>
      </w:r>
    </w:p>
    <w:p w14:paraId="434111EB" w14:textId="77777777" w:rsidR="00CC546C" w:rsidRPr="00E36734" w:rsidRDefault="00CC546C" w:rsidP="00CC546C">
      <w:pPr>
        <w:spacing w:after="0" w:line="360" w:lineRule="auto"/>
        <w:jc w:val="both"/>
        <w:rPr>
          <w:rFonts w:ascii="Times New Roman" w:eastAsia="Times New Roman" w:hAnsi="Times New Roman" w:cs="Times New Roman"/>
          <w:sz w:val="24"/>
          <w:szCs w:val="24"/>
          <w:lang w:eastAsia="el-GR"/>
        </w:rPr>
      </w:pPr>
    </w:p>
    <w:p w14:paraId="32594BB3" w14:textId="77777777" w:rsidR="00CC546C" w:rsidRPr="00761263" w:rsidRDefault="00CC546C" w:rsidP="00CC546C">
      <w:pPr>
        <w:spacing w:after="0" w:line="360" w:lineRule="auto"/>
        <w:jc w:val="both"/>
        <w:rPr>
          <w:rFonts w:ascii="Times New Roman" w:eastAsia="Times New Roman" w:hAnsi="Times New Roman" w:cs="Times New Roman"/>
          <w:sz w:val="24"/>
          <w:szCs w:val="24"/>
          <w:lang w:eastAsia="el-GR"/>
        </w:rPr>
      </w:pPr>
      <w:r w:rsidRPr="00E36734">
        <w:rPr>
          <w:noProof/>
          <w:lang w:eastAsia="el-GR"/>
        </w:rPr>
        <w:drawing>
          <wp:inline distT="0" distB="0" distL="0" distR="0" wp14:anchorId="42A0B797" wp14:editId="2AB00728">
            <wp:extent cx="6562718" cy="942975"/>
            <wp:effectExtent l="0" t="0" r="0" b="0"/>
            <wp:docPr id="5" name="Εικόνα 5" descr="C:\Users\Thanopoulos\AppData\Local\Microsoft\Windows\INetCache\Content.Word\Ypourgeio-ependyseis3ΕΚ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nopoulos\AppData\Local\Microsoft\Windows\INetCache\Content.Word\Ypourgeio-ependyseis3ΕΚΤ.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70980" cy="944162"/>
                    </a:xfrm>
                    <a:prstGeom prst="rect">
                      <a:avLst/>
                    </a:prstGeom>
                    <a:noFill/>
                    <a:ln>
                      <a:noFill/>
                    </a:ln>
                  </pic:spPr>
                </pic:pic>
              </a:graphicData>
            </a:graphic>
          </wp:inline>
        </w:drawing>
      </w:r>
    </w:p>
    <w:p w14:paraId="26B9D803" w14:textId="77777777" w:rsidR="00CC546C" w:rsidRDefault="00CC546C" w:rsidP="00CC546C">
      <w:pPr>
        <w:spacing w:after="0" w:line="240" w:lineRule="auto"/>
        <w:jc w:val="center"/>
        <w:rPr>
          <w:rFonts w:ascii="Times New Roman" w:eastAsia="Times New Roman" w:hAnsi="Times New Roman" w:cs="Times New Roman"/>
          <w:b/>
          <w:sz w:val="24"/>
          <w:szCs w:val="24"/>
          <w:lang w:eastAsia="el-GR"/>
        </w:rPr>
      </w:pPr>
    </w:p>
    <w:bookmarkEnd w:id="0"/>
    <w:p w14:paraId="34AF7184" w14:textId="77777777" w:rsidR="00487FB4" w:rsidRPr="00761263" w:rsidRDefault="00487FB4" w:rsidP="00143079">
      <w:pPr>
        <w:spacing w:after="0" w:line="360" w:lineRule="auto"/>
        <w:jc w:val="both"/>
        <w:rPr>
          <w:rFonts w:ascii="Times New Roman" w:eastAsia="Times New Roman" w:hAnsi="Times New Roman" w:cs="Times New Roman"/>
          <w:color w:val="FF0000"/>
          <w:sz w:val="24"/>
          <w:szCs w:val="24"/>
          <w:lang w:eastAsia="el-GR"/>
        </w:rPr>
      </w:pPr>
    </w:p>
    <w:sectPr w:rsidR="00487FB4" w:rsidRPr="00761263" w:rsidSect="006E7CAE">
      <w:headerReference w:type="default" r:id="rId34"/>
      <w:footerReference w:type="default" r:id="rId35"/>
      <w:pgSz w:w="11906" w:h="16838"/>
      <w:pgMar w:top="1440" w:right="849" w:bottom="1440"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625D7" w14:textId="77777777" w:rsidR="00137133" w:rsidRDefault="00137133">
      <w:pPr>
        <w:spacing w:after="0" w:line="240" w:lineRule="auto"/>
      </w:pPr>
      <w:r>
        <w:separator/>
      </w:r>
    </w:p>
  </w:endnote>
  <w:endnote w:type="continuationSeparator" w:id="0">
    <w:p w14:paraId="2A8ECBDA" w14:textId="77777777" w:rsidR="00137133" w:rsidRDefault="0013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mn-cs">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854802"/>
      <w:docPartObj>
        <w:docPartGallery w:val="Page Numbers (Bottom of Page)"/>
        <w:docPartUnique/>
      </w:docPartObj>
    </w:sdtPr>
    <w:sdtEndPr>
      <w:rPr>
        <w:noProof/>
      </w:rPr>
    </w:sdtEndPr>
    <w:sdtContent>
      <w:p w14:paraId="278A04C6" w14:textId="58022776" w:rsidR="00C83512" w:rsidRDefault="00C83512">
        <w:pPr>
          <w:pStyle w:val="a8"/>
          <w:jc w:val="right"/>
        </w:pPr>
        <w:r>
          <w:fldChar w:fldCharType="begin"/>
        </w:r>
        <w:r>
          <w:instrText xml:space="preserve"> PAGE   \* MERGEFORMAT </w:instrText>
        </w:r>
        <w:r>
          <w:fldChar w:fldCharType="separate"/>
        </w:r>
        <w:r w:rsidR="00730F7E">
          <w:rPr>
            <w:noProof/>
          </w:rPr>
          <w:t>1</w:t>
        </w:r>
        <w:r>
          <w:rPr>
            <w:noProof/>
          </w:rPr>
          <w:fldChar w:fldCharType="end"/>
        </w:r>
      </w:p>
    </w:sdtContent>
  </w:sdt>
  <w:p w14:paraId="74E5F68B" w14:textId="77777777" w:rsidR="00C83512" w:rsidRDefault="00C8351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A3FD5" w14:textId="77777777" w:rsidR="00137133" w:rsidRDefault="00137133">
      <w:pPr>
        <w:spacing w:after="0" w:line="240" w:lineRule="auto"/>
      </w:pPr>
      <w:r>
        <w:separator/>
      </w:r>
    </w:p>
  </w:footnote>
  <w:footnote w:type="continuationSeparator" w:id="0">
    <w:p w14:paraId="2A2A261C" w14:textId="77777777" w:rsidR="00137133" w:rsidRDefault="00137133">
      <w:pPr>
        <w:spacing w:after="0" w:line="240" w:lineRule="auto"/>
      </w:pPr>
      <w:r>
        <w:continuationSeparator/>
      </w:r>
    </w:p>
  </w:footnote>
  <w:footnote w:id="1">
    <w:p w14:paraId="186FAAAA" w14:textId="462348E1" w:rsidR="00C83512" w:rsidRPr="00C80938" w:rsidRDefault="00C83512" w:rsidP="00C80938">
      <w:pPr>
        <w:spacing w:after="0" w:line="360" w:lineRule="auto"/>
        <w:jc w:val="both"/>
        <w:rPr>
          <w:rFonts w:ascii="Times New Roman" w:hAnsi="Times New Roman" w:cs="Times New Roman"/>
          <w:sz w:val="16"/>
          <w:szCs w:val="16"/>
        </w:rPr>
      </w:pPr>
      <w:r w:rsidRPr="00B841AC">
        <w:rPr>
          <w:rStyle w:val="ae"/>
        </w:rPr>
        <w:footnoteRef/>
      </w:r>
      <w:r w:rsidRPr="00B841AC">
        <w:t xml:space="preserve"> </w:t>
      </w:r>
      <w:r w:rsidRPr="00B841AC">
        <w:rPr>
          <w:rFonts w:ascii="Times New Roman" w:hAnsi="Times New Roman" w:cs="Times New Roman"/>
          <w:sz w:val="16"/>
          <w:szCs w:val="16"/>
        </w:rPr>
        <w:t>Η παρούσα έρευνα είναι η πρώτη για το 2021 που διεξάγει το Ινστιτούτο Μικρών Επιχειρήσεων της ΓΣΕΒΕΕ</w:t>
      </w:r>
      <w:r w:rsidRPr="00B841AC">
        <w:t xml:space="preserve"> </w:t>
      </w:r>
      <w:r w:rsidRPr="00B841AC">
        <w:rPr>
          <w:rFonts w:ascii="Times New Roman" w:hAnsi="Times New Roman" w:cs="Times New Roman"/>
          <w:sz w:val="16"/>
          <w:szCs w:val="16"/>
        </w:rPr>
        <w:t>σε εξαμηνιαία βάση από τον Μάιο του 2009 . Οι τηλεφωνικές συνεντεύξεις διενεργήθηκαν από την εταιρία MARC AE σε πανελλαδικό δείγμα 801 πολύ μικρών και μικρών επιχειρήσεων (0-49 άτομα προσωπικό), στο διάστημα 10-24 Φεβρουαρίου 2021. Η έρευνα έχει ως</w:t>
      </w:r>
      <w:r w:rsidRPr="00C80938">
        <w:rPr>
          <w:rFonts w:ascii="Times New Roman" w:hAnsi="Times New Roman" w:cs="Times New Roman"/>
          <w:sz w:val="16"/>
          <w:szCs w:val="16"/>
        </w:rPr>
        <w:t xml:space="preserve"> βασικό στόχο την αποτύπωση του οικονομικού κλίματος στις πολύ μικρές και μικρές επιχειρήσεις, στους κλάδους της μεταποίησης, του εμπορίου και των υπηρεσιών, που αποτελούν το 99,6% των επιχειρήσεων στην Ελλάδα. Τα ευρήματα αυτής της έρευνας μπορούν να συγκριθούν με τα αντίστοιχα των προηγούμενων ερευνών (Μάιος 2009 – Ιούλιος 2020). Οι έρευνες αυτές αποτελούν το μοναδικό εργαλείο, σε πανελλαδικό επίπεδο, για την καταγραφή της κατάστασης και της πορείας του μεγαλύτερου τμήματος της πραγματικής οικονομίας στην Ελλάδα. Τα πρωτογενή δεδομένα οικονομικών και επιχειρηματικών προσδοκιών χρησιμοποιούνται από την Ευρωπαϊκή Συνομοσπονδία Μικρομεσαίων Επιχειρήσεων (</w:t>
      </w:r>
      <w:r w:rsidRPr="00C80938">
        <w:rPr>
          <w:rFonts w:ascii="Times New Roman" w:hAnsi="Times New Roman" w:cs="Times New Roman"/>
          <w:sz w:val="16"/>
          <w:szCs w:val="16"/>
          <w:lang w:val="en-US"/>
        </w:rPr>
        <w:t>SME</w:t>
      </w:r>
      <w:r w:rsidRPr="00C80938">
        <w:rPr>
          <w:rFonts w:ascii="Times New Roman" w:hAnsi="Times New Roman" w:cs="Times New Roman"/>
          <w:sz w:val="16"/>
          <w:szCs w:val="16"/>
        </w:rPr>
        <w:t xml:space="preserve"> </w:t>
      </w:r>
      <w:r w:rsidRPr="00C80938">
        <w:rPr>
          <w:rFonts w:ascii="Times New Roman" w:hAnsi="Times New Roman" w:cs="Times New Roman"/>
          <w:sz w:val="16"/>
          <w:szCs w:val="16"/>
          <w:lang w:val="en-US"/>
        </w:rPr>
        <w:t>United</w:t>
      </w:r>
      <w:r w:rsidRPr="00C80938">
        <w:rPr>
          <w:rFonts w:ascii="Times New Roman" w:hAnsi="Times New Roman" w:cs="Times New Roman"/>
          <w:sz w:val="16"/>
          <w:szCs w:val="16"/>
        </w:rPr>
        <w:t xml:space="preserve">) για την κατασκευή των δεικτών ευρωπαϊκού οικονομικού κλίματος και είναι συγκρίσιμα με τα στοιχεία άλλων χωρών της ΕΕ. </w:t>
      </w:r>
      <w:r>
        <w:rPr>
          <w:rFonts w:ascii="Times New Roman" w:hAnsi="Times New Roman" w:cs="Times New Roman"/>
          <w:sz w:val="16"/>
          <w:szCs w:val="16"/>
        </w:rPr>
        <w:t xml:space="preserve"> </w:t>
      </w:r>
      <w:r w:rsidRPr="00C80938">
        <w:rPr>
          <w:rFonts w:ascii="Times New Roman" w:hAnsi="Times New Roman" w:cs="Times New Roman"/>
          <w:sz w:val="16"/>
          <w:szCs w:val="16"/>
        </w:rPr>
        <w:t>Όπως και στις προηγούμενες έρευνες, έτσι και τώρα, υπάρχει μια σαφής καταγραφή των τάσεων του οικονομικού κλίματος καθώς και η παρακολούθηση των βασικών δεικτών λειτουργίας των μικρών επιχειρήσεων κατά το 2ο εξάμηνο του 2020, ενώ παράλληλα επιχειρείται οικονομική πρόβλεψη για το 1ο εξάμηνο του 2021.</w:t>
      </w:r>
    </w:p>
    <w:p w14:paraId="333A935F" w14:textId="0EF30052" w:rsidR="00C83512" w:rsidRDefault="00C83512">
      <w:pPr>
        <w:pStyle w:val="ad"/>
      </w:pPr>
    </w:p>
  </w:footnote>
  <w:footnote w:id="2">
    <w:p w14:paraId="4BB96318" w14:textId="77777777" w:rsidR="00C83512" w:rsidRDefault="00C83512" w:rsidP="000A0DC2">
      <w:pPr>
        <w:pStyle w:val="ad"/>
      </w:pPr>
      <w:r>
        <w:rPr>
          <w:rStyle w:val="ae"/>
        </w:rPr>
        <w:footnoteRef/>
      </w:r>
      <w:r>
        <w:t xml:space="preserve"> Δελτία Τύπου ΕΛΣΤΑΤ:</w:t>
      </w:r>
    </w:p>
    <w:p w14:paraId="221B6331" w14:textId="77777777" w:rsidR="00C83512" w:rsidRDefault="00C83512" w:rsidP="000A0DC2">
      <w:pPr>
        <w:pStyle w:val="ad"/>
      </w:pPr>
      <w:r>
        <w:t>α) ΔΕΙΚΤΗΣ ΤΙΜΩΝ ΚΑΤΑΝΑΛΩΤΗ: Δεκέμβριος 2020</w:t>
      </w:r>
    </w:p>
    <w:p w14:paraId="4740C337" w14:textId="0FB90F9E" w:rsidR="00C83512" w:rsidRDefault="00C83512" w:rsidP="000A0DC2">
      <w:pPr>
        <w:pStyle w:val="ad"/>
      </w:pPr>
      <w:r>
        <w:t>β) ΤΡΙΜΗΝΙΑΙΟΙ ΕΘΝΙΚΟΙ ΛΟΓΑΡΙΑΣΜΟΙ 4ο Τρίμηνο 2020</w:t>
      </w:r>
    </w:p>
  </w:footnote>
  <w:footnote w:id="3">
    <w:p w14:paraId="5EED4C71" w14:textId="3EC4BCE8" w:rsidR="00C83512" w:rsidRDefault="00C83512">
      <w:pPr>
        <w:pStyle w:val="ad"/>
      </w:pPr>
      <w:r w:rsidRPr="008D6CAD">
        <w:rPr>
          <w:rStyle w:val="ae"/>
        </w:rPr>
        <w:footnoteRef/>
      </w:r>
      <w:r w:rsidRPr="008D6CAD">
        <w:t xml:space="preserve"> Έρευνα Εργατικού Δυναμικού – Δ τρίμηνο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9771" w14:textId="77777777" w:rsidR="00C83512" w:rsidRDefault="00C83512">
    <w:pPr>
      <w:pStyle w:val="a7"/>
    </w:pPr>
    <w:r>
      <w:rPr>
        <w:noProof/>
        <w:lang w:eastAsia="el-GR"/>
      </w:rPr>
      <w:drawing>
        <wp:inline distT="0" distB="0" distL="0" distR="0" wp14:anchorId="555D6B99" wp14:editId="7BF5B88D">
          <wp:extent cx="1579155" cy="594360"/>
          <wp:effectExtent l="0" t="0" r="2540" b="0"/>
          <wp:docPr id="18" name="Εικόνα 10" descr="C:\Users\Thanopoulos\AppData\Local\Microsoft\Windows\INetCache\Content.Outlook\B5LN3GZV\ιμε μπορντώ.jpg"/>
          <wp:cNvGraphicFramePr/>
          <a:graphic xmlns:a="http://schemas.openxmlformats.org/drawingml/2006/main">
            <a:graphicData uri="http://schemas.openxmlformats.org/drawingml/2006/picture">
              <pic:pic xmlns:pic="http://schemas.openxmlformats.org/drawingml/2006/picture">
                <pic:nvPicPr>
                  <pic:cNvPr id="11" name="Εικόνα 10" descr="C:\Users\Thanopoulos\AppData\Local\Microsoft\Windows\INetCache\Content.Outlook\B5LN3GZV\ιμε μπορντώ.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4176" cy="59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19D"/>
    <w:multiLevelType w:val="hybridMultilevel"/>
    <w:tmpl w:val="94085D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00402E8"/>
    <w:multiLevelType w:val="hybridMultilevel"/>
    <w:tmpl w:val="6B1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A138B"/>
    <w:multiLevelType w:val="hybridMultilevel"/>
    <w:tmpl w:val="5ECE7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DCD416F"/>
    <w:multiLevelType w:val="hybridMultilevel"/>
    <w:tmpl w:val="E7C8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A342E"/>
    <w:multiLevelType w:val="hybridMultilevel"/>
    <w:tmpl w:val="1D582A38"/>
    <w:lvl w:ilvl="0" w:tplc="3884921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73D4D"/>
    <w:multiLevelType w:val="hybridMultilevel"/>
    <w:tmpl w:val="F718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12548"/>
    <w:multiLevelType w:val="hybridMultilevel"/>
    <w:tmpl w:val="1C3C9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9A1735"/>
    <w:multiLevelType w:val="hybridMultilevel"/>
    <w:tmpl w:val="E4F87F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6037C2D"/>
    <w:multiLevelType w:val="hybridMultilevel"/>
    <w:tmpl w:val="CBE480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628757E"/>
    <w:multiLevelType w:val="hybridMultilevel"/>
    <w:tmpl w:val="8DCEC1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C7364CF"/>
    <w:multiLevelType w:val="hybridMultilevel"/>
    <w:tmpl w:val="7586FE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37A016E"/>
    <w:multiLevelType w:val="hybridMultilevel"/>
    <w:tmpl w:val="716CCEA4"/>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666B7354"/>
    <w:multiLevelType w:val="hybridMultilevel"/>
    <w:tmpl w:val="7A1A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C7634"/>
    <w:multiLevelType w:val="hybridMultilevel"/>
    <w:tmpl w:val="DF369E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3F142F"/>
    <w:multiLevelType w:val="hybridMultilevel"/>
    <w:tmpl w:val="5B3E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35DD8"/>
    <w:multiLevelType w:val="hybridMultilevel"/>
    <w:tmpl w:val="31B6607C"/>
    <w:lvl w:ilvl="0" w:tplc="0CD257A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F416DD4"/>
    <w:multiLevelType w:val="hybridMultilevel"/>
    <w:tmpl w:val="51467BBC"/>
    <w:lvl w:ilvl="0" w:tplc="04080001">
      <w:start w:val="1"/>
      <w:numFmt w:val="bullet"/>
      <w:lvlText w:val=""/>
      <w:lvlJc w:val="left"/>
      <w:pPr>
        <w:ind w:left="363" w:hanging="360"/>
      </w:pPr>
      <w:rPr>
        <w:rFonts w:ascii="Symbol" w:hAnsi="Symbol" w:hint="default"/>
      </w:rPr>
    </w:lvl>
    <w:lvl w:ilvl="1" w:tplc="04080003">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17" w15:restartNumberingAfterBreak="0">
    <w:nsid w:val="745A6A3C"/>
    <w:multiLevelType w:val="hybridMultilevel"/>
    <w:tmpl w:val="AC1AE49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7D8C24FD"/>
    <w:multiLevelType w:val="hybridMultilevel"/>
    <w:tmpl w:val="0464E4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8"/>
  </w:num>
  <w:num w:numId="5">
    <w:abstractNumId w:val="2"/>
  </w:num>
  <w:num w:numId="6">
    <w:abstractNumId w:val="15"/>
  </w:num>
  <w:num w:numId="7">
    <w:abstractNumId w:val="9"/>
  </w:num>
  <w:num w:numId="8">
    <w:abstractNumId w:val="16"/>
  </w:num>
  <w:num w:numId="9">
    <w:abstractNumId w:val="18"/>
  </w:num>
  <w:num w:numId="10">
    <w:abstractNumId w:val="14"/>
  </w:num>
  <w:num w:numId="11">
    <w:abstractNumId w:val="7"/>
  </w:num>
  <w:num w:numId="12">
    <w:abstractNumId w:val="12"/>
  </w:num>
  <w:num w:numId="13">
    <w:abstractNumId w:val="6"/>
  </w:num>
  <w:num w:numId="14">
    <w:abstractNumId w:val="5"/>
  </w:num>
  <w:num w:numId="15">
    <w:abstractNumId w:val="3"/>
  </w:num>
  <w:num w:numId="16">
    <w:abstractNumId w:val="17"/>
  </w:num>
  <w:num w:numId="17">
    <w:abstractNumId w:val="4"/>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7F"/>
    <w:rsid w:val="00002179"/>
    <w:rsid w:val="00004C66"/>
    <w:rsid w:val="00032562"/>
    <w:rsid w:val="00035701"/>
    <w:rsid w:val="00060F92"/>
    <w:rsid w:val="0007054F"/>
    <w:rsid w:val="000948E7"/>
    <w:rsid w:val="00094C0D"/>
    <w:rsid w:val="000A0DC2"/>
    <w:rsid w:val="000A34B1"/>
    <w:rsid w:val="000B20F5"/>
    <w:rsid w:val="000B2D69"/>
    <w:rsid w:val="000D303E"/>
    <w:rsid w:val="000D37CB"/>
    <w:rsid w:val="000E395F"/>
    <w:rsid w:val="000E4A7F"/>
    <w:rsid w:val="000E5AE6"/>
    <w:rsid w:val="00117974"/>
    <w:rsid w:val="00121769"/>
    <w:rsid w:val="00137133"/>
    <w:rsid w:val="00141F8B"/>
    <w:rsid w:val="00143079"/>
    <w:rsid w:val="001465D5"/>
    <w:rsid w:val="001538D2"/>
    <w:rsid w:val="00170F96"/>
    <w:rsid w:val="0017211B"/>
    <w:rsid w:val="001765DA"/>
    <w:rsid w:val="001A4A72"/>
    <w:rsid w:val="001A7AB7"/>
    <w:rsid w:val="001D2F4E"/>
    <w:rsid w:val="001E14E7"/>
    <w:rsid w:val="001E56CB"/>
    <w:rsid w:val="001F3396"/>
    <w:rsid w:val="001F7AC4"/>
    <w:rsid w:val="00204FC2"/>
    <w:rsid w:val="00207047"/>
    <w:rsid w:val="002103D0"/>
    <w:rsid w:val="0021116B"/>
    <w:rsid w:val="002157CB"/>
    <w:rsid w:val="0021650B"/>
    <w:rsid w:val="00223FF0"/>
    <w:rsid w:val="002308D0"/>
    <w:rsid w:val="0024078D"/>
    <w:rsid w:val="0024372F"/>
    <w:rsid w:val="002452C5"/>
    <w:rsid w:val="00246CED"/>
    <w:rsid w:val="00251B57"/>
    <w:rsid w:val="002603E7"/>
    <w:rsid w:val="0026178A"/>
    <w:rsid w:val="00270290"/>
    <w:rsid w:val="00274A97"/>
    <w:rsid w:val="002827F0"/>
    <w:rsid w:val="002859EE"/>
    <w:rsid w:val="00295BAA"/>
    <w:rsid w:val="002A2333"/>
    <w:rsid w:val="002A4EF2"/>
    <w:rsid w:val="002B0267"/>
    <w:rsid w:val="002D19D7"/>
    <w:rsid w:val="002D603B"/>
    <w:rsid w:val="002E3138"/>
    <w:rsid w:val="00302A44"/>
    <w:rsid w:val="00307DCA"/>
    <w:rsid w:val="00314F06"/>
    <w:rsid w:val="00344F20"/>
    <w:rsid w:val="00352F49"/>
    <w:rsid w:val="0035471D"/>
    <w:rsid w:val="003665D8"/>
    <w:rsid w:val="003726B2"/>
    <w:rsid w:val="00372A24"/>
    <w:rsid w:val="00374CCF"/>
    <w:rsid w:val="0037683D"/>
    <w:rsid w:val="0038050E"/>
    <w:rsid w:val="003849FE"/>
    <w:rsid w:val="00396DF7"/>
    <w:rsid w:val="003A31D9"/>
    <w:rsid w:val="003B08A9"/>
    <w:rsid w:val="003B2986"/>
    <w:rsid w:val="003B4F9C"/>
    <w:rsid w:val="003C733C"/>
    <w:rsid w:val="003E70BF"/>
    <w:rsid w:val="003F18A9"/>
    <w:rsid w:val="00400FF8"/>
    <w:rsid w:val="0040254E"/>
    <w:rsid w:val="00411D45"/>
    <w:rsid w:val="00416A27"/>
    <w:rsid w:val="00425E4A"/>
    <w:rsid w:val="00436AF7"/>
    <w:rsid w:val="00440412"/>
    <w:rsid w:val="00445572"/>
    <w:rsid w:val="004568FB"/>
    <w:rsid w:val="00460AC4"/>
    <w:rsid w:val="004622B0"/>
    <w:rsid w:val="0047336F"/>
    <w:rsid w:val="004743E2"/>
    <w:rsid w:val="00483ED8"/>
    <w:rsid w:val="00485B12"/>
    <w:rsid w:val="00487FB4"/>
    <w:rsid w:val="00495E12"/>
    <w:rsid w:val="004A1D99"/>
    <w:rsid w:val="004B7C0A"/>
    <w:rsid w:val="004C0E5E"/>
    <w:rsid w:val="004D3693"/>
    <w:rsid w:val="004F497A"/>
    <w:rsid w:val="00514FFC"/>
    <w:rsid w:val="00515020"/>
    <w:rsid w:val="00515537"/>
    <w:rsid w:val="00525F15"/>
    <w:rsid w:val="0053342E"/>
    <w:rsid w:val="00536468"/>
    <w:rsid w:val="00536E72"/>
    <w:rsid w:val="00547F34"/>
    <w:rsid w:val="005A5E9C"/>
    <w:rsid w:val="005C06B9"/>
    <w:rsid w:val="005C0F84"/>
    <w:rsid w:val="005C627F"/>
    <w:rsid w:val="005C74C7"/>
    <w:rsid w:val="005D2068"/>
    <w:rsid w:val="005E0770"/>
    <w:rsid w:val="005E3EAF"/>
    <w:rsid w:val="005E5285"/>
    <w:rsid w:val="005F6010"/>
    <w:rsid w:val="00625028"/>
    <w:rsid w:val="00650B17"/>
    <w:rsid w:val="00655A77"/>
    <w:rsid w:val="00675005"/>
    <w:rsid w:val="00685193"/>
    <w:rsid w:val="0069456F"/>
    <w:rsid w:val="00694711"/>
    <w:rsid w:val="00696AF7"/>
    <w:rsid w:val="00697011"/>
    <w:rsid w:val="006A1075"/>
    <w:rsid w:val="006C1482"/>
    <w:rsid w:val="006C3DAB"/>
    <w:rsid w:val="006D0D98"/>
    <w:rsid w:val="006E7CAE"/>
    <w:rsid w:val="006F0247"/>
    <w:rsid w:val="00702E6E"/>
    <w:rsid w:val="00710DBA"/>
    <w:rsid w:val="007252E8"/>
    <w:rsid w:val="007264A1"/>
    <w:rsid w:val="00726A9A"/>
    <w:rsid w:val="00730A63"/>
    <w:rsid w:val="00730F7E"/>
    <w:rsid w:val="00750E32"/>
    <w:rsid w:val="00752037"/>
    <w:rsid w:val="00761263"/>
    <w:rsid w:val="00783670"/>
    <w:rsid w:val="00785AB0"/>
    <w:rsid w:val="007A224C"/>
    <w:rsid w:val="007E56A7"/>
    <w:rsid w:val="007E59BF"/>
    <w:rsid w:val="0082015F"/>
    <w:rsid w:val="00821B05"/>
    <w:rsid w:val="008345E1"/>
    <w:rsid w:val="008345E5"/>
    <w:rsid w:val="008452A1"/>
    <w:rsid w:val="00851D68"/>
    <w:rsid w:val="00854D7F"/>
    <w:rsid w:val="0085646C"/>
    <w:rsid w:val="00856E24"/>
    <w:rsid w:val="008623E3"/>
    <w:rsid w:val="00874903"/>
    <w:rsid w:val="00876EEE"/>
    <w:rsid w:val="00884AC9"/>
    <w:rsid w:val="00885F58"/>
    <w:rsid w:val="008A266B"/>
    <w:rsid w:val="008A541F"/>
    <w:rsid w:val="008A710D"/>
    <w:rsid w:val="008B11AB"/>
    <w:rsid w:val="008B6EB3"/>
    <w:rsid w:val="008C7281"/>
    <w:rsid w:val="008C7FF0"/>
    <w:rsid w:val="008D6CAD"/>
    <w:rsid w:val="008E3E65"/>
    <w:rsid w:val="008F4BD9"/>
    <w:rsid w:val="009048DD"/>
    <w:rsid w:val="00906C6F"/>
    <w:rsid w:val="00911788"/>
    <w:rsid w:val="0091560F"/>
    <w:rsid w:val="00923D8D"/>
    <w:rsid w:val="0094360A"/>
    <w:rsid w:val="0094509D"/>
    <w:rsid w:val="00947F85"/>
    <w:rsid w:val="00952337"/>
    <w:rsid w:val="00971CF2"/>
    <w:rsid w:val="00982B33"/>
    <w:rsid w:val="00985484"/>
    <w:rsid w:val="00985D49"/>
    <w:rsid w:val="009916D3"/>
    <w:rsid w:val="00993DDC"/>
    <w:rsid w:val="009A4233"/>
    <w:rsid w:val="009A50FC"/>
    <w:rsid w:val="009A65CF"/>
    <w:rsid w:val="009B237C"/>
    <w:rsid w:val="009B4B42"/>
    <w:rsid w:val="009C751E"/>
    <w:rsid w:val="009D0035"/>
    <w:rsid w:val="009F3A39"/>
    <w:rsid w:val="009F6718"/>
    <w:rsid w:val="00A108EE"/>
    <w:rsid w:val="00A1401D"/>
    <w:rsid w:val="00A22547"/>
    <w:rsid w:val="00A23BA0"/>
    <w:rsid w:val="00A3079C"/>
    <w:rsid w:val="00A3568A"/>
    <w:rsid w:val="00A417BC"/>
    <w:rsid w:val="00A500D0"/>
    <w:rsid w:val="00A62CBE"/>
    <w:rsid w:val="00A77A8A"/>
    <w:rsid w:val="00A856DF"/>
    <w:rsid w:val="00A9032A"/>
    <w:rsid w:val="00A9257F"/>
    <w:rsid w:val="00A9799A"/>
    <w:rsid w:val="00AA2C38"/>
    <w:rsid w:val="00AB1C80"/>
    <w:rsid w:val="00AC066D"/>
    <w:rsid w:val="00AC42DE"/>
    <w:rsid w:val="00AE2572"/>
    <w:rsid w:val="00B05A9B"/>
    <w:rsid w:val="00B12ACB"/>
    <w:rsid w:val="00B158EC"/>
    <w:rsid w:val="00B34346"/>
    <w:rsid w:val="00B35AC3"/>
    <w:rsid w:val="00B46D0E"/>
    <w:rsid w:val="00B62495"/>
    <w:rsid w:val="00B63BE3"/>
    <w:rsid w:val="00B775D9"/>
    <w:rsid w:val="00B77B52"/>
    <w:rsid w:val="00B800A3"/>
    <w:rsid w:val="00B8111F"/>
    <w:rsid w:val="00B813DA"/>
    <w:rsid w:val="00B841AC"/>
    <w:rsid w:val="00B90718"/>
    <w:rsid w:val="00B925F2"/>
    <w:rsid w:val="00BA1D4B"/>
    <w:rsid w:val="00BC157E"/>
    <w:rsid w:val="00BC259B"/>
    <w:rsid w:val="00BC68A9"/>
    <w:rsid w:val="00BD2DCD"/>
    <w:rsid w:val="00BD43D6"/>
    <w:rsid w:val="00BE078D"/>
    <w:rsid w:val="00BE7C9E"/>
    <w:rsid w:val="00BF13F5"/>
    <w:rsid w:val="00BF51FE"/>
    <w:rsid w:val="00C01329"/>
    <w:rsid w:val="00C05413"/>
    <w:rsid w:val="00C06B19"/>
    <w:rsid w:val="00C07136"/>
    <w:rsid w:val="00C378B7"/>
    <w:rsid w:val="00C639A2"/>
    <w:rsid w:val="00C703E3"/>
    <w:rsid w:val="00C80938"/>
    <w:rsid w:val="00C83512"/>
    <w:rsid w:val="00C83EDA"/>
    <w:rsid w:val="00C91692"/>
    <w:rsid w:val="00C92416"/>
    <w:rsid w:val="00C9318F"/>
    <w:rsid w:val="00CA2DDC"/>
    <w:rsid w:val="00CB6783"/>
    <w:rsid w:val="00CB760D"/>
    <w:rsid w:val="00CB769F"/>
    <w:rsid w:val="00CB7FC5"/>
    <w:rsid w:val="00CC2D53"/>
    <w:rsid w:val="00CC546C"/>
    <w:rsid w:val="00CD24ED"/>
    <w:rsid w:val="00CE6161"/>
    <w:rsid w:val="00CE72DA"/>
    <w:rsid w:val="00CF0038"/>
    <w:rsid w:val="00CF21E4"/>
    <w:rsid w:val="00D00475"/>
    <w:rsid w:val="00D25A9C"/>
    <w:rsid w:val="00D42B3B"/>
    <w:rsid w:val="00D449BA"/>
    <w:rsid w:val="00D707D5"/>
    <w:rsid w:val="00D908C6"/>
    <w:rsid w:val="00D95643"/>
    <w:rsid w:val="00DA5D46"/>
    <w:rsid w:val="00DB4061"/>
    <w:rsid w:val="00DB4D1C"/>
    <w:rsid w:val="00DC1A1E"/>
    <w:rsid w:val="00DC5346"/>
    <w:rsid w:val="00DD7C9C"/>
    <w:rsid w:val="00DF2253"/>
    <w:rsid w:val="00E170CB"/>
    <w:rsid w:val="00E21419"/>
    <w:rsid w:val="00E22D6F"/>
    <w:rsid w:val="00E31104"/>
    <w:rsid w:val="00E36734"/>
    <w:rsid w:val="00E4146C"/>
    <w:rsid w:val="00E445BB"/>
    <w:rsid w:val="00E47175"/>
    <w:rsid w:val="00E55E93"/>
    <w:rsid w:val="00E567EA"/>
    <w:rsid w:val="00E61F2C"/>
    <w:rsid w:val="00EA5454"/>
    <w:rsid w:val="00EA66B6"/>
    <w:rsid w:val="00EB026B"/>
    <w:rsid w:val="00ED02ED"/>
    <w:rsid w:val="00ED2A9D"/>
    <w:rsid w:val="00ED4604"/>
    <w:rsid w:val="00EE2B7E"/>
    <w:rsid w:val="00EE4A42"/>
    <w:rsid w:val="00EF5A45"/>
    <w:rsid w:val="00F113F1"/>
    <w:rsid w:val="00F11BAF"/>
    <w:rsid w:val="00F27C0E"/>
    <w:rsid w:val="00F37328"/>
    <w:rsid w:val="00F45994"/>
    <w:rsid w:val="00F65969"/>
    <w:rsid w:val="00F733E9"/>
    <w:rsid w:val="00F76EE1"/>
    <w:rsid w:val="00F82CFE"/>
    <w:rsid w:val="00F87B2B"/>
    <w:rsid w:val="00F9223A"/>
    <w:rsid w:val="00FA0C0E"/>
    <w:rsid w:val="00FA1CB8"/>
    <w:rsid w:val="00FA6F05"/>
    <w:rsid w:val="00FB0EAF"/>
    <w:rsid w:val="00FB66EB"/>
    <w:rsid w:val="00FD35B6"/>
    <w:rsid w:val="00FD445D"/>
    <w:rsid w:val="00FD6265"/>
    <w:rsid w:val="00FE0680"/>
    <w:rsid w:val="00FE6286"/>
    <w:rsid w:val="00FF74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DEDB"/>
  <w15:docId w15:val="{CE97D238-6412-4CBE-82C7-F9F1D0EA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57F"/>
  </w:style>
  <w:style w:type="paragraph" w:styleId="1">
    <w:name w:val="heading 1"/>
    <w:basedOn w:val="a"/>
    <w:next w:val="a"/>
    <w:link w:val="1Char"/>
    <w:uiPriority w:val="9"/>
    <w:qFormat/>
    <w:rsid w:val="00DA5D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DA5D46"/>
    <w:pPr>
      <w:keepNext/>
      <w:keepLines/>
      <w:spacing w:before="200" w:after="0" w:line="360" w:lineRule="auto"/>
      <w:jc w:val="both"/>
      <w:outlineLvl w:val="1"/>
    </w:pPr>
    <w:rPr>
      <w:rFonts w:ascii="Cambria" w:eastAsia="Times New Roman" w:hAnsi="Cambria" w:cs="Times New Roman"/>
      <w:b/>
      <w:bCs/>
      <w:i/>
      <w:iCs/>
      <w:sz w:val="28"/>
      <w:szCs w:val="28"/>
      <w:lang w:val="en-GB"/>
    </w:rPr>
  </w:style>
  <w:style w:type="paragraph" w:styleId="3">
    <w:name w:val="heading 3"/>
    <w:basedOn w:val="a"/>
    <w:next w:val="a"/>
    <w:link w:val="3Char"/>
    <w:uiPriority w:val="9"/>
    <w:semiHidden/>
    <w:unhideWhenUsed/>
    <w:qFormat/>
    <w:rsid w:val="00DA5D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A5D46"/>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DA5D46"/>
    <w:rPr>
      <w:rFonts w:ascii="Cambria" w:eastAsia="Times New Roman" w:hAnsi="Cambria" w:cs="Times New Roman"/>
      <w:b/>
      <w:bCs/>
      <w:i/>
      <w:iCs/>
      <w:sz w:val="28"/>
      <w:szCs w:val="28"/>
      <w:lang w:val="en-GB"/>
    </w:rPr>
  </w:style>
  <w:style w:type="character" w:customStyle="1" w:styleId="3Char">
    <w:name w:val="Επικεφαλίδα 3 Char"/>
    <w:basedOn w:val="a0"/>
    <w:link w:val="3"/>
    <w:uiPriority w:val="9"/>
    <w:semiHidden/>
    <w:rsid w:val="00DA5D46"/>
    <w:rPr>
      <w:rFonts w:asciiTheme="majorHAnsi" w:eastAsiaTheme="majorEastAsia" w:hAnsiTheme="majorHAnsi" w:cstheme="majorBidi"/>
      <w:b/>
      <w:bCs/>
      <w:color w:val="4F81BD" w:themeColor="accent1"/>
    </w:rPr>
  </w:style>
  <w:style w:type="paragraph" w:styleId="10">
    <w:name w:val="toc 1"/>
    <w:basedOn w:val="a"/>
    <w:next w:val="a"/>
    <w:autoRedefine/>
    <w:uiPriority w:val="39"/>
    <w:unhideWhenUsed/>
    <w:qFormat/>
    <w:rsid w:val="00DA5D46"/>
    <w:pPr>
      <w:spacing w:before="120" w:after="120"/>
    </w:pPr>
    <w:rPr>
      <w:b/>
      <w:bCs/>
      <w:caps/>
      <w:sz w:val="20"/>
      <w:szCs w:val="20"/>
    </w:rPr>
  </w:style>
  <w:style w:type="paragraph" w:styleId="20">
    <w:name w:val="toc 2"/>
    <w:basedOn w:val="a"/>
    <w:next w:val="a"/>
    <w:autoRedefine/>
    <w:uiPriority w:val="39"/>
    <w:unhideWhenUsed/>
    <w:qFormat/>
    <w:rsid w:val="00DA5D46"/>
    <w:pPr>
      <w:spacing w:after="0"/>
      <w:ind w:left="220"/>
    </w:pPr>
    <w:rPr>
      <w:smallCaps/>
      <w:sz w:val="20"/>
      <w:szCs w:val="20"/>
    </w:rPr>
  </w:style>
  <w:style w:type="paragraph" w:styleId="30">
    <w:name w:val="toc 3"/>
    <w:basedOn w:val="a"/>
    <w:next w:val="a"/>
    <w:autoRedefine/>
    <w:uiPriority w:val="39"/>
    <w:unhideWhenUsed/>
    <w:qFormat/>
    <w:rsid w:val="00DA5D46"/>
    <w:pPr>
      <w:spacing w:after="0"/>
      <w:ind w:left="440"/>
    </w:pPr>
    <w:rPr>
      <w:i/>
      <w:iCs/>
      <w:sz w:val="20"/>
      <w:szCs w:val="20"/>
    </w:rPr>
  </w:style>
  <w:style w:type="paragraph" w:styleId="a3">
    <w:name w:val="caption"/>
    <w:basedOn w:val="a"/>
    <w:next w:val="a"/>
    <w:uiPriority w:val="35"/>
    <w:unhideWhenUsed/>
    <w:qFormat/>
    <w:rsid w:val="00DA5D46"/>
    <w:pPr>
      <w:spacing w:line="240" w:lineRule="auto"/>
    </w:pPr>
    <w:rPr>
      <w:rFonts w:eastAsiaTheme="minorEastAsia"/>
      <w:b/>
      <w:bCs/>
      <w:color w:val="4F81BD" w:themeColor="accent1"/>
      <w:sz w:val="18"/>
      <w:szCs w:val="18"/>
      <w:lang w:eastAsia="el-GR"/>
    </w:rPr>
  </w:style>
  <w:style w:type="paragraph" w:styleId="a4">
    <w:name w:val="No Spacing"/>
    <w:uiPriority w:val="1"/>
    <w:qFormat/>
    <w:rsid w:val="00DA5D46"/>
    <w:pPr>
      <w:spacing w:after="0" w:line="240" w:lineRule="auto"/>
    </w:pPr>
  </w:style>
  <w:style w:type="paragraph" w:styleId="a5">
    <w:name w:val="List Paragraph"/>
    <w:basedOn w:val="a"/>
    <w:uiPriority w:val="99"/>
    <w:qFormat/>
    <w:rsid w:val="00DA5D46"/>
    <w:pPr>
      <w:ind w:left="720"/>
      <w:contextualSpacing/>
    </w:pPr>
  </w:style>
  <w:style w:type="paragraph" w:styleId="a6">
    <w:name w:val="TOC Heading"/>
    <w:basedOn w:val="1"/>
    <w:next w:val="a"/>
    <w:uiPriority w:val="39"/>
    <w:semiHidden/>
    <w:unhideWhenUsed/>
    <w:qFormat/>
    <w:rsid w:val="00DA5D46"/>
    <w:pPr>
      <w:outlineLvl w:val="9"/>
    </w:pPr>
    <w:rPr>
      <w:lang w:eastAsia="el-GR"/>
    </w:rPr>
  </w:style>
  <w:style w:type="paragraph" w:styleId="a7">
    <w:name w:val="header"/>
    <w:basedOn w:val="a"/>
    <w:link w:val="Char"/>
    <w:uiPriority w:val="99"/>
    <w:unhideWhenUsed/>
    <w:rsid w:val="00A9257F"/>
    <w:pPr>
      <w:tabs>
        <w:tab w:val="center" w:pos="4153"/>
        <w:tab w:val="right" w:pos="8306"/>
      </w:tabs>
      <w:spacing w:after="0" w:line="240" w:lineRule="auto"/>
    </w:pPr>
  </w:style>
  <w:style w:type="character" w:customStyle="1" w:styleId="Char">
    <w:name w:val="Κεφαλίδα Char"/>
    <w:basedOn w:val="a0"/>
    <w:link w:val="a7"/>
    <w:uiPriority w:val="99"/>
    <w:rsid w:val="00A9257F"/>
  </w:style>
  <w:style w:type="paragraph" w:styleId="a8">
    <w:name w:val="footer"/>
    <w:basedOn w:val="a"/>
    <w:link w:val="Char0"/>
    <w:uiPriority w:val="99"/>
    <w:unhideWhenUsed/>
    <w:rsid w:val="00A9257F"/>
    <w:pPr>
      <w:tabs>
        <w:tab w:val="center" w:pos="4153"/>
        <w:tab w:val="right" w:pos="8306"/>
      </w:tabs>
      <w:spacing w:after="0" w:line="240" w:lineRule="auto"/>
    </w:pPr>
  </w:style>
  <w:style w:type="character" w:customStyle="1" w:styleId="Char0">
    <w:name w:val="Υποσέλιδο Char"/>
    <w:basedOn w:val="a0"/>
    <w:link w:val="a8"/>
    <w:uiPriority w:val="99"/>
    <w:rsid w:val="00A9257F"/>
  </w:style>
  <w:style w:type="table" w:styleId="a9">
    <w:name w:val="Table Grid"/>
    <w:basedOn w:val="a1"/>
    <w:uiPriority w:val="99"/>
    <w:rsid w:val="00A9257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1"/>
    <w:uiPriority w:val="99"/>
    <w:semiHidden/>
    <w:unhideWhenUsed/>
    <w:rsid w:val="00A9257F"/>
    <w:pPr>
      <w:spacing w:after="0" w:line="240" w:lineRule="auto"/>
    </w:pPr>
    <w:rPr>
      <w:rFonts w:ascii="Tahoma" w:hAnsi="Tahoma" w:cs="Tahoma"/>
      <w:sz w:val="16"/>
      <w:szCs w:val="16"/>
    </w:rPr>
  </w:style>
  <w:style w:type="character" w:customStyle="1" w:styleId="Char1">
    <w:name w:val="Κείμενο πλαισίου Char"/>
    <w:basedOn w:val="a0"/>
    <w:link w:val="aa"/>
    <w:uiPriority w:val="99"/>
    <w:semiHidden/>
    <w:rsid w:val="00A9257F"/>
    <w:rPr>
      <w:rFonts w:ascii="Tahoma" w:hAnsi="Tahoma" w:cs="Tahoma"/>
      <w:sz w:val="16"/>
      <w:szCs w:val="16"/>
    </w:rPr>
  </w:style>
  <w:style w:type="paragraph" w:styleId="Web">
    <w:name w:val="Normal (Web)"/>
    <w:basedOn w:val="a"/>
    <w:uiPriority w:val="99"/>
    <w:unhideWhenUsed/>
    <w:rsid w:val="002308D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endnote text"/>
    <w:basedOn w:val="a"/>
    <w:link w:val="Char2"/>
    <w:uiPriority w:val="99"/>
    <w:semiHidden/>
    <w:unhideWhenUsed/>
    <w:rsid w:val="00525F15"/>
    <w:pPr>
      <w:spacing w:after="0" w:line="240" w:lineRule="auto"/>
    </w:pPr>
    <w:rPr>
      <w:sz w:val="20"/>
      <w:szCs w:val="20"/>
    </w:rPr>
  </w:style>
  <w:style w:type="character" w:customStyle="1" w:styleId="Char2">
    <w:name w:val="Κείμενο σημείωσης τέλους Char"/>
    <w:basedOn w:val="a0"/>
    <w:link w:val="ab"/>
    <w:uiPriority w:val="99"/>
    <w:semiHidden/>
    <w:rsid w:val="00525F15"/>
    <w:rPr>
      <w:sz w:val="20"/>
      <w:szCs w:val="20"/>
    </w:rPr>
  </w:style>
  <w:style w:type="character" w:styleId="ac">
    <w:name w:val="endnote reference"/>
    <w:basedOn w:val="a0"/>
    <w:uiPriority w:val="99"/>
    <w:semiHidden/>
    <w:unhideWhenUsed/>
    <w:rsid w:val="00525F15"/>
    <w:rPr>
      <w:vertAlign w:val="superscript"/>
    </w:rPr>
  </w:style>
  <w:style w:type="paragraph" w:styleId="ad">
    <w:name w:val="footnote text"/>
    <w:basedOn w:val="a"/>
    <w:link w:val="Char3"/>
    <w:uiPriority w:val="99"/>
    <w:semiHidden/>
    <w:unhideWhenUsed/>
    <w:rsid w:val="000A0DC2"/>
    <w:pPr>
      <w:spacing w:after="0" w:line="240" w:lineRule="auto"/>
    </w:pPr>
    <w:rPr>
      <w:sz w:val="20"/>
      <w:szCs w:val="20"/>
    </w:rPr>
  </w:style>
  <w:style w:type="character" w:customStyle="1" w:styleId="Char3">
    <w:name w:val="Κείμενο υποσημείωσης Char"/>
    <w:basedOn w:val="a0"/>
    <w:link w:val="ad"/>
    <w:uiPriority w:val="99"/>
    <w:semiHidden/>
    <w:rsid w:val="000A0DC2"/>
    <w:rPr>
      <w:sz w:val="20"/>
      <w:szCs w:val="20"/>
    </w:rPr>
  </w:style>
  <w:style w:type="character" w:styleId="ae">
    <w:name w:val="footnote reference"/>
    <w:basedOn w:val="a0"/>
    <w:uiPriority w:val="99"/>
    <w:semiHidden/>
    <w:unhideWhenUsed/>
    <w:rsid w:val="000A0D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7352">
      <w:bodyDiv w:val="1"/>
      <w:marLeft w:val="0"/>
      <w:marRight w:val="0"/>
      <w:marTop w:val="0"/>
      <w:marBottom w:val="0"/>
      <w:divBdr>
        <w:top w:val="none" w:sz="0" w:space="0" w:color="auto"/>
        <w:left w:val="none" w:sz="0" w:space="0" w:color="auto"/>
        <w:bottom w:val="none" w:sz="0" w:space="0" w:color="auto"/>
        <w:right w:val="none" w:sz="0" w:space="0" w:color="auto"/>
      </w:divBdr>
    </w:div>
    <w:div w:id="830023983">
      <w:bodyDiv w:val="1"/>
      <w:marLeft w:val="0"/>
      <w:marRight w:val="0"/>
      <w:marTop w:val="0"/>
      <w:marBottom w:val="0"/>
      <w:divBdr>
        <w:top w:val="none" w:sz="0" w:space="0" w:color="auto"/>
        <w:left w:val="none" w:sz="0" w:space="0" w:color="auto"/>
        <w:bottom w:val="none" w:sz="0" w:space="0" w:color="auto"/>
        <w:right w:val="none" w:sz="0" w:space="0" w:color="auto"/>
      </w:divBdr>
    </w:div>
    <w:div w:id="1015880310">
      <w:bodyDiv w:val="1"/>
      <w:marLeft w:val="0"/>
      <w:marRight w:val="0"/>
      <w:marTop w:val="0"/>
      <w:marBottom w:val="0"/>
      <w:divBdr>
        <w:top w:val="none" w:sz="0" w:space="0" w:color="auto"/>
        <w:left w:val="none" w:sz="0" w:space="0" w:color="auto"/>
        <w:bottom w:val="none" w:sz="0" w:space="0" w:color="auto"/>
        <w:right w:val="none" w:sz="0" w:space="0" w:color="auto"/>
      </w:divBdr>
    </w:div>
    <w:div w:id="1068458188">
      <w:bodyDiv w:val="1"/>
      <w:marLeft w:val="0"/>
      <w:marRight w:val="0"/>
      <w:marTop w:val="0"/>
      <w:marBottom w:val="0"/>
      <w:divBdr>
        <w:top w:val="none" w:sz="0" w:space="0" w:color="auto"/>
        <w:left w:val="none" w:sz="0" w:space="0" w:color="auto"/>
        <w:bottom w:val="none" w:sz="0" w:space="0" w:color="auto"/>
        <w:right w:val="none" w:sz="0" w:space="0" w:color="auto"/>
      </w:divBdr>
    </w:div>
    <w:div w:id="1276520133">
      <w:bodyDiv w:val="1"/>
      <w:marLeft w:val="0"/>
      <w:marRight w:val="0"/>
      <w:marTop w:val="0"/>
      <w:marBottom w:val="0"/>
      <w:divBdr>
        <w:top w:val="none" w:sz="0" w:space="0" w:color="auto"/>
        <w:left w:val="none" w:sz="0" w:space="0" w:color="auto"/>
        <w:bottom w:val="none" w:sz="0" w:space="0" w:color="auto"/>
        <w:right w:val="none" w:sz="0" w:space="0" w:color="auto"/>
      </w:divBdr>
    </w:div>
    <w:div w:id="1384673205">
      <w:bodyDiv w:val="1"/>
      <w:marLeft w:val="0"/>
      <w:marRight w:val="0"/>
      <w:marTop w:val="0"/>
      <w:marBottom w:val="0"/>
      <w:divBdr>
        <w:top w:val="none" w:sz="0" w:space="0" w:color="auto"/>
        <w:left w:val="none" w:sz="0" w:space="0" w:color="auto"/>
        <w:bottom w:val="none" w:sz="0" w:space="0" w:color="auto"/>
        <w:right w:val="none" w:sz="0" w:space="0" w:color="auto"/>
      </w:divBdr>
    </w:div>
    <w:div w:id="1505626912">
      <w:bodyDiv w:val="1"/>
      <w:marLeft w:val="0"/>
      <w:marRight w:val="0"/>
      <w:marTop w:val="0"/>
      <w:marBottom w:val="0"/>
      <w:divBdr>
        <w:top w:val="none" w:sz="0" w:space="0" w:color="auto"/>
        <w:left w:val="none" w:sz="0" w:space="0" w:color="auto"/>
        <w:bottom w:val="none" w:sz="0" w:space="0" w:color="auto"/>
        <w:right w:val="none" w:sz="0" w:space="0" w:color="auto"/>
      </w:divBdr>
    </w:div>
    <w:div w:id="1628586577">
      <w:bodyDiv w:val="1"/>
      <w:marLeft w:val="0"/>
      <w:marRight w:val="0"/>
      <w:marTop w:val="0"/>
      <w:marBottom w:val="0"/>
      <w:divBdr>
        <w:top w:val="none" w:sz="0" w:space="0" w:color="auto"/>
        <w:left w:val="none" w:sz="0" w:space="0" w:color="auto"/>
        <w:bottom w:val="none" w:sz="0" w:space="0" w:color="auto"/>
        <w:right w:val="none" w:sz="0" w:space="0" w:color="auto"/>
      </w:divBdr>
    </w:div>
    <w:div w:id="1728869079">
      <w:bodyDiv w:val="1"/>
      <w:marLeft w:val="0"/>
      <w:marRight w:val="0"/>
      <w:marTop w:val="0"/>
      <w:marBottom w:val="0"/>
      <w:divBdr>
        <w:top w:val="none" w:sz="0" w:space="0" w:color="auto"/>
        <w:left w:val="none" w:sz="0" w:space="0" w:color="auto"/>
        <w:bottom w:val="none" w:sz="0" w:space="0" w:color="auto"/>
        <w:right w:val="none" w:sz="0" w:space="0" w:color="auto"/>
      </w:divBdr>
    </w:div>
    <w:div w:id="1801335510">
      <w:bodyDiv w:val="1"/>
      <w:marLeft w:val="0"/>
      <w:marRight w:val="0"/>
      <w:marTop w:val="0"/>
      <w:marBottom w:val="0"/>
      <w:divBdr>
        <w:top w:val="none" w:sz="0" w:space="0" w:color="auto"/>
        <w:left w:val="none" w:sz="0" w:space="0" w:color="auto"/>
        <w:bottom w:val="none" w:sz="0" w:space="0" w:color="auto"/>
        <w:right w:val="none" w:sz="0" w:space="0" w:color="auto"/>
      </w:divBdr>
    </w:div>
    <w:div w:id="1808010289">
      <w:bodyDiv w:val="1"/>
      <w:marLeft w:val="0"/>
      <w:marRight w:val="0"/>
      <w:marTop w:val="0"/>
      <w:marBottom w:val="0"/>
      <w:divBdr>
        <w:top w:val="none" w:sz="0" w:space="0" w:color="auto"/>
        <w:left w:val="none" w:sz="0" w:space="0" w:color="auto"/>
        <w:bottom w:val="none" w:sz="0" w:space="0" w:color="auto"/>
        <w:right w:val="none" w:sz="0" w:space="0" w:color="auto"/>
      </w:divBdr>
    </w:div>
    <w:div w:id="1837762050">
      <w:bodyDiv w:val="1"/>
      <w:marLeft w:val="0"/>
      <w:marRight w:val="0"/>
      <w:marTop w:val="0"/>
      <w:marBottom w:val="0"/>
      <w:divBdr>
        <w:top w:val="none" w:sz="0" w:space="0" w:color="auto"/>
        <w:left w:val="none" w:sz="0" w:space="0" w:color="auto"/>
        <w:bottom w:val="none" w:sz="0" w:space="0" w:color="auto"/>
        <w:right w:val="none" w:sz="0" w:space="0" w:color="auto"/>
      </w:divBdr>
    </w:div>
    <w:div w:id="1968781758">
      <w:bodyDiv w:val="1"/>
      <w:marLeft w:val="0"/>
      <w:marRight w:val="0"/>
      <w:marTop w:val="0"/>
      <w:marBottom w:val="0"/>
      <w:divBdr>
        <w:top w:val="none" w:sz="0" w:space="0" w:color="auto"/>
        <w:left w:val="none" w:sz="0" w:space="0" w:color="auto"/>
        <w:bottom w:val="none" w:sz="0" w:space="0" w:color="auto"/>
        <w:right w:val="none" w:sz="0" w:space="0" w:color="auto"/>
      </w:divBdr>
    </w:div>
    <w:div w:id="199413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_____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_____________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______________Microsoft_Excel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______________Microsoft_Excel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______________Microsoft_Excel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______________Microsoft_Excel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______________Microsoft_Excel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______________Microsoft_Excel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______________Microsoft_Excel16.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______________Microsoft_Excel17.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______________Microsoft_Excel18.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_____________Microsoft_Excel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______________Microsoft_Excel19.xlsx"/><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______________Microsoft_Excel20.xlsx"/><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______________Microsoft_Excel21.xlsx"/><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______________Microsoft_Excel22.xlsx"/><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______________Microsoft_Excel23.xlsx"/><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______________Microsoft_Excel24.xlsx"/><Relationship Id="rId1" Type="http://schemas.openxmlformats.org/officeDocument/2006/relationships/themeOverride" Target="../theme/themeOverride24.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________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_________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________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_________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_________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_________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_________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l-GR"/>
              <a:t>Γραφημα</a:t>
            </a:r>
            <a:r>
              <a:rPr lang="el-GR" baseline="0"/>
              <a:t> 1</a:t>
            </a:r>
            <a:endParaRPr lang="el-GR"/>
          </a:p>
          <a:p>
            <a:pPr>
              <a:defRPr sz="1600" b="1" i="0" u="none" strike="noStrike" kern="1200" cap="all" spc="120" normalizeH="0" baseline="0">
                <a:solidFill>
                  <a:schemeClr val="tx1">
                    <a:lumMod val="65000"/>
                    <a:lumOff val="35000"/>
                  </a:schemeClr>
                </a:solidFill>
                <a:latin typeface="+mn-lt"/>
                <a:ea typeface="+mn-ea"/>
                <a:cs typeface="+mn-cs"/>
              </a:defRPr>
            </a:pPr>
            <a:r>
              <a:rPr lang="el-GR"/>
              <a:t>ΔΕΙΚΤΗΣ ΟΙΚΟΝΟΜΙΚΟΥ ΚΛΙΜΑΤΟΣ</a:t>
            </a:r>
            <a:r>
              <a:rPr lang="el-GR" baseline="0"/>
              <a:t> ΜΜΕ</a:t>
            </a:r>
            <a:endParaRPr lang="el-GR"/>
          </a:p>
        </c:rich>
      </c:tx>
      <c:overlay val="0"/>
      <c:spPr>
        <a:noFill/>
        <a:ln>
          <a:noFill/>
        </a:ln>
        <a:effectLst/>
      </c:spPr>
    </c:title>
    <c:autoTitleDeleted val="0"/>
    <c:plotArea>
      <c:layout/>
      <c:lineChart>
        <c:grouping val="standard"/>
        <c:varyColors val="0"/>
        <c:ser>
          <c:idx val="0"/>
          <c:order val="0"/>
          <c:tx>
            <c:strRef>
              <c:f>'ΚΑΤΑΣΤΑΣΗ ΕΠΙΧΕΙΡΗΣΗΣ ΜΕΘ.Ε '!$A$4</c:f>
              <c:strCache>
                <c:ptCount val="1"/>
                <c:pt idx="0">
                  <c:v>ΜΕΣΟΣ ΟΡΟΣ ΕΕ</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l-G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'ΚΑΤΑΣΤΑΣΗ ΕΠΙΧΕΙΡΗΣΗΣ ΜΕΘ.Ε '!$B$3:$U$3</c:f>
              <c:strCache>
                <c:ptCount val="20"/>
                <c:pt idx="0">
                  <c:v>2011Α</c:v>
                </c:pt>
                <c:pt idx="1">
                  <c:v>2011Β</c:v>
                </c:pt>
                <c:pt idx="2">
                  <c:v>2012Α</c:v>
                </c:pt>
                <c:pt idx="3">
                  <c:v>2012Β</c:v>
                </c:pt>
                <c:pt idx="4">
                  <c:v>2013Α</c:v>
                </c:pt>
                <c:pt idx="5">
                  <c:v>2013Β</c:v>
                </c:pt>
                <c:pt idx="6">
                  <c:v>2014Α</c:v>
                </c:pt>
                <c:pt idx="7">
                  <c:v>2014Β</c:v>
                </c:pt>
                <c:pt idx="8">
                  <c:v>2015Α</c:v>
                </c:pt>
                <c:pt idx="9">
                  <c:v>2015Β</c:v>
                </c:pt>
                <c:pt idx="10">
                  <c:v>2016Α</c:v>
                </c:pt>
                <c:pt idx="11">
                  <c:v>2016Β</c:v>
                </c:pt>
                <c:pt idx="12">
                  <c:v>2017Α</c:v>
                </c:pt>
                <c:pt idx="13">
                  <c:v>2017Β</c:v>
                </c:pt>
                <c:pt idx="14">
                  <c:v>2018Α</c:v>
                </c:pt>
                <c:pt idx="15">
                  <c:v>2018Β</c:v>
                </c:pt>
                <c:pt idx="16">
                  <c:v>2019A</c:v>
                </c:pt>
                <c:pt idx="17">
                  <c:v>2019Β</c:v>
                </c:pt>
                <c:pt idx="18">
                  <c:v>2020Α</c:v>
                </c:pt>
                <c:pt idx="19">
                  <c:v>2020Β</c:v>
                </c:pt>
              </c:strCache>
            </c:strRef>
          </c:cat>
          <c:val>
            <c:numRef>
              <c:f>'ΚΑΤΑΣΤΑΣΗ ΕΠΙΧΕΙΡΗΣΗΣ ΜΕΘ.Ε '!$B$4:$U$4</c:f>
              <c:numCache>
                <c:formatCode>0.0</c:formatCode>
                <c:ptCount val="20"/>
                <c:pt idx="0">
                  <c:v>70.8</c:v>
                </c:pt>
                <c:pt idx="1">
                  <c:v>70.5</c:v>
                </c:pt>
                <c:pt idx="2">
                  <c:v>67.5</c:v>
                </c:pt>
                <c:pt idx="3">
                  <c:v>65.3</c:v>
                </c:pt>
                <c:pt idx="4">
                  <c:v>66.099999999999994</c:v>
                </c:pt>
                <c:pt idx="5">
                  <c:v>67.900000000000006</c:v>
                </c:pt>
                <c:pt idx="6">
                  <c:v>71.7</c:v>
                </c:pt>
                <c:pt idx="7">
                  <c:v>72.3</c:v>
                </c:pt>
                <c:pt idx="8">
                  <c:v>74.900000000000006</c:v>
                </c:pt>
                <c:pt idx="9">
                  <c:v>75.599999999999994</c:v>
                </c:pt>
                <c:pt idx="10">
                  <c:v>75.5</c:v>
                </c:pt>
                <c:pt idx="11">
                  <c:v>75.8</c:v>
                </c:pt>
                <c:pt idx="12">
                  <c:v>80.2</c:v>
                </c:pt>
                <c:pt idx="13">
                  <c:v>81.599999999999994</c:v>
                </c:pt>
                <c:pt idx="14">
                  <c:v>81.7</c:v>
                </c:pt>
                <c:pt idx="15">
                  <c:v>76.599999999999994</c:v>
                </c:pt>
                <c:pt idx="16">
                  <c:v>77.099999999999994</c:v>
                </c:pt>
                <c:pt idx="17">
                  <c:v>73.400000000000006</c:v>
                </c:pt>
                <c:pt idx="18">
                  <c:v>54.6</c:v>
                </c:pt>
                <c:pt idx="19">
                  <c:v>59.8</c:v>
                </c:pt>
              </c:numCache>
            </c:numRef>
          </c:val>
          <c:smooth val="0"/>
          <c:extLst>
            <c:ext xmlns:c16="http://schemas.microsoft.com/office/drawing/2014/chart" uri="{C3380CC4-5D6E-409C-BE32-E72D297353CC}">
              <c16:uniqueId val="{00000000-9CEF-4E0D-B21D-3DCE453E1054}"/>
            </c:ext>
          </c:extLst>
        </c:ser>
        <c:ser>
          <c:idx val="1"/>
          <c:order val="1"/>
          <c:tx>
            <c:strRef>
              <c:f>'ΚΑΤΑΣΤΑΣΗ ΕΠΙΧΕΙΡΗΣΗΣ ΜΕΘ.Ε '!$A$5</c:f>
              <c:strCache>
                <c:ptCount val="1"/>
                <c:pt idx="0">
                  <c:v>ΕΛΛΑΔΑ</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l-G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'ΚΑΤΑΣΤΑΣΗ ΕΠΙΧΕΙΡΗΣΗΣ ΜΕΘ.Ε '!$B$3:$U$3</c:f>
              <c:strCache>
                <c:ptCount val="20"/>
                <c:pt idx="0">
                  <c:v>2011Α</c:v>
                </c:pt>
                <c:pt idx="1">
                  <c:v>2011Β</c:v>
                </c:pt>
                <c:pt idx="2">
                  <c:v>2012Α</c:v>
                </c:pt>
                <c:pt idx="3">
                  <c:v>2012Β</c:v>
                </c:pt>
                <c:pt idx="4">
                  <c:v>2013Α</c:v>
                </c:pt>
                <c:pt idx="5">
                  <c:v>2013Β</c:v>
                </c:pt>
                <c:pt idx="6">
                  <c:v>2014Α</c:v>
                </c:pt>
                <c:pt idx="7">
                  <c:v>2014Β</c:v>
                </c:pt>
                <c:pt idx="8">
                  <c:v>2015Α</c:v>
                </c:pt>
                <c:pt idx="9">
                  <c:v>2015Β</c:v>
                </c:pt>
                <c:pt idx="10">
                  <c:v>2016Α</c:v>
                </c:pt>
                <c:pt idx="11">
                  <c:v>2016Β</c:v>
                </c:pt>
                <c:pt idx="12">
                  <c:v>2017Α</c:v>
                </c:pt>
                <c:pt idx="13">
                  <c:v>2017Β</c:v>
                </c:pt>
                <c:pt idx="14">
                  <c:v>2018Α</c:v>
                </c:pt>
                <c:pt idx="15">
                  <c:v>2018Β</c:v>
                </c:pt>
                <c:pt idx="16">
                  <c:v>2019A</c:v>
                </c:pt>
                <c:pt idx="17">
                  <c:v>2019Β</c:v>
                </c:pt>
                <c:pt idx="18">
                  <c:v>2020Α</c:v>
                </c:pt>
                <c:pt idx="19">
                  <c:v>2020Β</c:v>
                </c:pt>
              </c:strCache>
            </c:strRef>
          </c:cat>
          <c:val>
            <c:numRef>
              <c:f>'ΚΑΤΑΣΤΑΣΗ ΕΠΙΧΕΙΡΗΣΗΣ ΜΕΘ.Ε '!$B$5:$U$5</c:f>
              <c:numCache>
                <c:formatCode>0.0</c:formatCode>
                <c:ptCount val="20"/>
                <c:pt idx="0">
                  <c:v>18.455366098294874</c:v>
                </c:pt>
                <c:pt idx="1">
                  <c:v>12.612612612612622</c:v>
                </c:pt>
                <c:pt idx="2">
                  <c:v>11.723446893787553</c:v>
                </c:pt>
                <c:pt idx="3">
                  <c:v>17.917917917917919</c:v>
                </c:pt>
                <c:pt idx="4">
                  <c:v>24.599999999999994</c:v>
                </c:pt>
                <c:pt idx="5">
                  <c:v>29.700000000000003</c:v>
                </c:pt>
                <c:pt idx="6">
                  <c:v>35.170340681362731</c:v>
                </c:pt>
                <c:pt idx="7">
                  <c:v>41.341341341341348</c:v>
                </c:pt>
                <c:pt idx="8">
                  <c:v>15.700000000000003</c:v>
                </c:pt>
                <c:pt idx="9">
                  <c:v>24.924924924924923</c:v>
                </c:pt>
                <c:pt idx="10">
                  <c:v>30.799999999999997</c:v>
                </c:pt>
                <c:pt idx="11">
                  <c:v>30.992978936810417</c:v>
                </c:pt>
                <c:pt idx="12">
                  <c:v>41.482965931863724</c:v>
                </c:pt>
                <c:pt idx="13">
                  <c:v>46.666666666666664</c:v>
                </c:pt>
                <c:pt idx="14">
                  <c:v>52.958876629889673</c:v>
                </c:pt>
                <c:pt idx="15">
                  <c:v>58.758758758758759</c:v>
                </c:pt>
                <c:pt idx="16">
                  <c:v>61.933534743202422</c:v>
                </c:pt>
                <c:pt idx="17">
                  <c:v>66.365461847389554</c:v>
                </c:pt>
                <c:pt idx="18">
                  <c:v>20.100000000000001</c:v>
                </c:pt>
                <c:pt idx="19">
                  <c:v>20.100000000000001</c:v>
                </c:pt>
              </c:numCache>
            </c:numRef>
          </c:val>
          <c:smooth val="0"/>
          <c:extLst>
            <c:ext xmlns:c16="http://schemas.microsoft.com/office/drawing/2014/chart" uri="{C3380CC4-5D6E-409C-BE32-E72D297353CC}">
              <c16:uniqueId val="{00000001-9CEF-4E0D-B21D-3DCE453E1054}"/>
            </c:ext>
          </c:extLst>
        </c:ser>
        <c:ser>
          <c:idx val="2"/>
          <c:order val="2"/>
          <c:tx>
            <c:strRef>
              <c:f>'ΚΑΤΑΣΤΑΣΗ ΕΠΙΧΕΙΡΗΣΗΣ ΜΕΘ.Ε '!$A$6</c:f>
              <c:strCache>
                <c:ptCount val="1"/>
                <c:pt idx="0">
                  <c:v>ΒΟΡΡΑΣ -ΕΕ</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l-G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'ΚΑΤΑΣΤΑΣΗ ΕΠΙΧΕΙΡΗΣΗΣ ΜΕΘ.Ε '!$B$3:$U$3</c:f>
              <c:strCache>
                <c:ptCount val="20"/>
                <c:pt idx="0">
                  <c:v>2011Α</c:v>
                </c:pt>
                <c:pt idx="1">
                  <c:v>2011Β</c:v>
                </c:pt>
                <c:pt idx="2">
                  <c:v>2012Α</c:v>
                </c:pt>
                <c:pt idx="3">
                  <c:v>2012Β</c:v>
                </c:pt>
                <c:pt idx="4">
                  <c:v>2013Α</c:v>
                </c:pt>
                <c:pt idx="5">
                  <c:v>2013Β</c:v>
                </c:pt>
                <c:pt idx="6">
                  <c:v>2014Α</c:v>
                </c:pt>
                <c:pt idx="7">
                  <c:v>2014Β</c:v>
                </c:pt>
                <c:pt idx="8">
                  <c:v>2015Α</c:v>
                </c:pt>
                <c:pt idx="9">
                  <c:v>2015Β</c:v>
                </c:pt>
                <c:pt idx="10">
                  <c:v>2016Α</c:v>
                </c:pt>
                <c:pt idx="11">
                  <c:v>2016Β</c:v>
                </c:pt>
                <c:pt idx="12">
                  <c:v>2017Α</c:v>
                </c:pt>
                <c:pt idx="13">
                  <c:v>2017Β</c:v>
                </c:pt>
                <c:pt idx="14">
                  <c:v>2018Α</c:v>
                </c:pt>
                <c:pt idx="15">
                  <c:v>2018Β</c:v>
                </c:pt>
                <c:pt idx="16">
                  <c:v>2019A</c:v>
                </c:pt>
                <c:pt idx="17">
                  <c:v>2019Β</c:v>
                </c:pt>
                <c:pt idx="18">
                  <c:v>2020Α</c:v>
                </c:pt>
                <c:pt idx="19">
                  <c:v>2020Β</c:v>
                </c:pt>
              </c:strCache>
            </c:strRef>
          </c:cat>
          <c:val>
            <c:numRef>
              <c:f>'ΚΑΤΑΣΤΑΣΗ ΕΠΙΧΕΙΡΗΣΗΣ ΜΕΘ.Ε '!$B$6:$U$6</c:f>
              <c:numCache>
                <c:formatCode>0.0</c:formatCode>
                <c:ptCount val="20"/>
                <c:pt idx="0">
                  <c:v>75.8</c:v>
                </c:pt>
                <c:pt idx="1">
                  <c:v>75.900000000000006</c:v>
                </c:pt>
                <c:pt idx="2">
                  <c:v>72.7</c:v>
                </c:pt>
                <c:pt idx="3">
                  <c:v>69.599999999999994</c:v>
                </c:pt>
                <c:pt idx="4">
                  <c:v>71</c:v>
                </c:pt>
                <c:pt idx="5">
                  <c:v>72.5</c:v>
                </c:pt>
                <c:pt idx="6">
                  <c:v>75.5</c:v>
                </c:pt>
                <c:pt idx="7">
                  <c:v>74.099999999999994</c:v>
                </c:pt>
                <c:pt idx="8">
                  <c:v>76.400000000000006</c:v>
                </c:pt>
                <c:pt idx="9">
                  <c:v>77.099999999999994</c:v>
                </c:pt>
                <c:pt idx="10">
                  <c:v>77.099999999999994</c:v>
                </c:pt>
                <c:pt idx="11">
                  <c:v>77.3</c:v>
                </c:pt>
                <c:pt idx="12">
                  <c:v>82.1</c:v>
                </c:pt>
                <c:pt idx="13">
                  <c:v>83.2</c:v>
                </c:pt>
                <c:pt idx="14">
                  <c:v>83.7</c:v>
                </c:pt>
                <c:pt idx="15">
                  <c:v>77.400000000000006</c:v>
                </c:pt>
                <c:pt idx="16">
                  <c:v>78</c:v>
                </c:pt>
                <c:pt idx="17">
                  <c:v>72.7</c:v>
                </c:pt>
                <c:pt idx="18">
                  <c:v>59.1</c:v>
                </c:pt>
                <c:pt idx="19">
                  <c:v>62.4</c:v>
                </c:pt>
              </c:numCache>
            </c:numRef>
          </c:val>
          <c:smooth val="0"/>
          <c:extLst>
            <c:ext xmlns:c16="http://schemas.microsoft.com/office/drawing/2014/chart" uri="{C3380CC4-5D6E-409C-BE32-E72D297353CC}">
              <c16:uniqueId val="{00000002-9CEF-4E0D-B21D-3DCE453E1054}"/>
            </c:ext>
          </c:extLst>
        </c:ser>
        <c:ser>
          <c:idx val="3"/>
          <c:order val="3"/>
          <c:tx>
            <c:strRef>
              <c:f>'ΚΑΤΑΣΤΑΣΗ ΕΠΙΧΕΙΡΗΣΗΣ ΜΕΘ.Ε '!$A$7</c:f>
              <c:strCache>
                <c:ptCount val="1"/>
                <c:pt idx="0">
                  <c:v>ΝΟΤΟΣ- ΕΕ</c:v>
                </c:pt>
              </c:strCache>
            </c:strRef>
          </c:tx>
          <c:spPr>
            <a:ln w="22225" cap="rnd">
              <a:solidFill>
                <a:schemeClr val="accent4"/>
              </a:solidFill>
              <a:round/>
            </a:ln>
            <a:effectLst/>
          </c:spPr>
          <c:marker>
            <c:symbol val="x"/>
            <c:size val="6"/>
            <c:spPr>
              <a:noFill/>
              <a:ln w="9525">
                <a:solidFill>
                  <a:schemeClr val="accent4"/>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l-G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'ΚΑΤΑΣΤΑΣΗ ΕΠΙΧΕΙΡΗΣΗΣ ΜΕΘ.Ε '!$B$3:$U$3</c:f>
              <c:strCache>
                <c:ptCount val="20"/>
                <c:pt idx="0">
                  <c:v>2011Α</c:v>
                </c:pt>
                <c:pt idx="1">
                  <c:v>2011Β</c:v>
                </c:pt>
                <c:pt idx="2">
                  <c:v>2012Α</c:v>
                </c:pt>
                <c:pt idx="3">
                  <c:v>2012Β</c:v>
                </c:pt>
                <c:pt idx="4">
                  <c:v>2013Α</c:v>
                </c:pt>
                <c:pt idx="5">
                  <c:v>2013Β</c:v>
                </c:pt>
                <c:pt idx="6">
                  <c:v>2014Α</c:v>
                </c:pt>
                <c:pt idx="7">
                  <c:v>2014Β</c:v>
                </c:pt>
                <c:pt idx="8">
                  <c:v>2015Α</c:v>
                </c:pt>
                <c:pt idx="9">
                  <c:v>2015Β</c:v>
                </c:pt>
                <c:pt idx="10">
                  <c:v>2016Α</c:v>
                </c:pt>
                <c:pt idx="11">
                  <c:v>2016Β</c:v>
                </c:pt>
                <c:pt idx="12">
                  <c:v>2017Α</c:v>
                </c:pt>
                <c:pt idx="13">
                  <c:v>2017Β</c:v>
                </c:pt>
                <c:pt idx="14">
                  <c:v>2018Α</c:v>
                </c:pt>
                <c:pt idx="15">
                  <c:v>2018Β</c:v>
                </c:pt>
                <c:pt idx="16">
                  <c:v>2019A</c:v>
                </c:pt>
                <c:pt idx="17">
                  <c:v>2019Β</c:v>
                </c:pt>
                <c:pt idx="18">
                  <c:v>2020Α</c:v>
                </c:pt>
                <c:pt idx="19">
                  <c:v>2020Β</c:v>
                </c:pt>
              </c:strCache>
            </c:strRef>
          </c:cat>
          <c:val>
            <c:numRef>
              <c:f>'ΚΑΤΑΣΤΑΣΗ ΕΠΙΧΕΙΡΗΣΗΣ ΜΕΘ.Ε '!$B$7:$U$7</c:f>
              <c:numCache>
                <c:formatCode>0.0</c:formatCode>
                <c:ptCount val="20"/>
                <c:pt idx="0">
                  <c:v>60.7</c:v>
                </c:pt>
                <c:pt idx="1">
                  <c:v>58.3</c:v>
                </c:pt>
                <c:pt idx="2">
                  <c:v>56.2</c:v>
                </c:pt>
                <c:pt idx="3">
                  <c:v>56.3</c:v>
                </c:pt>
                <c:pt idx="4">
                  <c:v>55.8</c:v>
                </c:pt>
                <c:pt idx="5">
                  <c:v>58.5</c:v>
                </c:pt>
                <c:pt idx="6">
                  <c:v>63.7</c:v>
                </c:pt>
                <c:pt idx="7">
                  <c:v>68.8</c:v>
                </c:pt>
                <c:pt idx="8">
                  <c:v>71.400000000000006</c:v>
                </c:pt>
                <c:pt idx="9">
                  <c:v>71.900000000000006</c:v>
                </c:pt>
                <c:pt idx="10">
                  <c:v>71.7</c:v>
                </c:pt>
                <c:pt idx="11">
                  <c:v>72.2</c:v>
                </c:pt>
                <c:pt idx="12">
                  <c:v>75.5</c:v>
                </c:pt>
                <c:pt idx="13">
                  <c:v>77.7</c:v>
                </c:pt>
                <c:pt idx="14">
                  <c:v>76.900000000000006</c:v>
                </c:pt>
                <c:pt idx="15">
                  <c:v>74.900000000000006</c:v>
                </c:pt>
                <c:pt idx="16">
                  <c:v>75.099999999999994</c:v>
                </c:pt>
                <c:pt idx="17">
                  <c:v>75.5</c:v>
                </c:pt>
                <c:pt idx="18">
                  <c:v>43.3</c:v>
                </c:pt>
                <c:pt idx="19">
                  <c:v>51.9</c:v>
                </c:pt>
              </c:numCache>
            </c:numRef>
          </c:val>
          <c:smooth val="0"/>
          <c:extLst>
            <c:ext xmlns:c16="http://schemas.microsoft.com/office/drawing/2014/chart" uri="{C3380CC4-5D6E-409C-BE32-E72D297353CC}">
              <c16:uniqueId val="{00000003-9CEF-4E0D-B21D-3DCE453E1054}"/>
            </c:ext>
          </c:extLst>
        </c:ser>
        <c:dLbls>
          <c:showLegendKey val="0"/>
          <c:showVal val="0"/>
          <c:showCatName val="0"/>
          <c:showSerName val="0"/>
          <c:showPercent val="0"/>
          <c:showBubbleSize val="0"/>
        </c:dLbls>
        <c:marker val="1"/>
        <c:smooth val="0"/>
        <c:axId val="338842368"/>
        <c:axId val="338843904"/>
      </c:lineChart>
      <c:catAx>
        <c:axId val="338842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cap="all" spc="120" normalizeH="0" baseline="0">
                <a:solidFill>
                  <a:schemeClr val="tx1">
                    <a:lumMod val="65000"/>
                    <a:lumOff val="35000"/>
                  </a:schemeClr>
                </a:solidFill>
                <a:latin typeface="+mn-lt"/>
                <a:ea typeface="+mn-ea"/>
                <a:cs typeface="+mn-cs"/>
              </a:defRPr>
            </a:pPr>
            <a:endParaRPr lang="el-GR"/>
          </a:p>
        </c:txPr>
        <c:crossAx val="338843904"/>
        <c:crosses val="autoZero"/>
        <c:auto val="1"/>
        <c:lblAlgn val="ctr"/>
        <c:lblOffset val="100"/>
        <c:noMultiLvlLbl val="0"/>
      </c:catAx>
      <c:valAx>
        <c:axId val="338843904"/>
        <c:scaling>
          <c:orientation val="minMax"/>
          <c:max val="90"/>
        </c:scaling>
        <c:delete val="0"/>
        <c:axPos val="l"/>
        <c:numFmt formatCode="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38842368"/>
        <c:crosses val="autoZero"/>
        <c:crossBetween val="between"/>
        <c:majorUnit val="1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55652053986335"/>
          <c:y val="0.10526040035955612"/>
          <c:w val="0.81503070540054934"/>
          <c:h val="0.83061961970555465"/>
        </c:manualLayout>
      </c:layout>
      <c:barChart>
        <c:barDir val="bar"/>
        <c:grouping val="percentStacked"/>
        <c:varyColors val="0"/>
        <c:ser>
          <c:idx val="0"/>
          <c:order val="0"/>
          <c:tx>
            <c:strRef>
              <c:f>Φύλλο1!$B$1</c:f>
              <c:strCache>
                <c:ptCount val="1"/>
                <c:pt idx="0">
                  <c:v>Αύξηση</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Φύλλο1!$A$2:$A$4</c:f>
              <c:strCache>
                <c:ptCount val="3"/>
                <c:pt idx="0">
                  <c:v>ΖΗΤΗΣΗ</c:v>
                </c:pt>
                <c:pt idx="1">
                  <c:v>ΠΑΡΑΓΓΕΛΙΕΣ</c:v>
                </c:pt>
                <c:pt idx="2">
                  <c:v>ΤΙΜΕΣ</c:v>
                </c:pt>
              </c:strCache>
            </c:strRef>
          </c:cat>
          <c:val>
            <c:numRef>
              <c:f>Φύλλο1!$B$2:$B$4</c:f>
              <c:numCache>
                <c:formatCode>General</c:formatCode>
                <c:ptCount val="3"/>
                <c:pt idx="0">
                  <c:v>13.7</c:v>
                </c:pt>
                <c:pt idx="1">
                  <c:v>9.1999999999999993</c:v>
                </c:pt>
                <c:pt idx="2">
                  <c:v>6.6</c:v>
                </c:pt>
              </c:numCache>
            </c:numRef>
          </c:val>
          <c:extLst>
            <c:ext xmlns:c16="http://schemas.microsoft.com/office/drawing/2014/chart" uri="{C3380CC4-5D6E-409C-BE32-E72D297353CC}">
              <c16:uniqueId val="{00000000-BB3A-4024-894D-E1612CBF869E}"/>
            </c:ext>
          </c:extLst>
        </c:ser>
        <c:ser>
          <c:idx val="1"/>
          <c:order val="1"/>
          <c:tx>
            <c:strRef>
              <c:f>Φύλλο1!$C$1</c:f>
              <c:strCache>
                <c:ptCount val="1"/>
                <c:pt idx="0">
                  <c:v>Μείωση</c:v>
                </c:pt>
              </c:strCache>
            </c:strRef>
          </c:tx>
          <c:invertIfNegative val="0"/>
          <c:dLbls>
            <c:spPr>
              <a:noFill/>
              <a:ln>
                <a:noFill/>
              </a:ln>
              <a:effectLst/>
            </c:spPr>
            <c:txPr>
              <a:bodyPr/>
              <a:lstStyle/>
              <a:p>
                <a:pPr algn="ctr">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Φύλλο1!$A$2:$A$4</c:f>
              <c:strCache>
                <c:ptCount val="3"/>
                <c:pt idx="0">
                  <c:v>ΖΗΤΗΣΗ</c:v>
                </c:pt>
                <c:pt idx="1">
                  <c:v>ΠΑΡΑΓΓΕΛΙΕΣ</c:v>
                </c:pt>
                <c:pt idx="2">
                  <c:v>ΤΙΜΕΣ</c:v>
                </c:pt>
              </c:strCache>
            </c:strRef>
          </c:cat>
          <c:val>
            <c:numRef>
              <c:f>Φύλλο1!$C$2:$C$4</c:f>
              <c:numCache>
                <c:formatCode>General</c:formatCode>
                <c:ptCount val="3"/>
                <c:pt idx="0">
                  <c:v>66.8</c:v>
                </c:pt>
                <c:pt idx="1">
                  <c:v>71.5</c:v>
                </c:pt>
                <c:pt idx="2">
                  <c:v>31.3</c:v>
                </c:pt>
              </c:numCache>
            </c:numRef>
          </c:val>
          <c:extLst>
            <c:ext xmlns:c16="http://schemas.microsoft.com/office/drawing/2014/chart" uri="{C3380CC4-5D6E-409C-BE32-E72D297353CC}">
              <c16:uniqueId val="{00000001-BB3A-4024-894D-E1612CBF869E}"/>
            </c:ext>
          </c:extLst>
        </c:ser>
        <c:ser>
          <c:idx val="2"/>
          <c:order val="2"/>
          <c:tx>
            <c:strRef>
              <c:f>Φύλλο1!$D$1</c:f>
              <c:strCache>
                <c:ptCount val="1"/>
                <c:pt idx="0">
                  <c:v>Χωρίς μεταβολή</c:v>
                </c:pt>
              </c:strCache>
            </c:strRef>
          </c:tx>
          <c:spPr>
            <a:solidFill>
              <a:schemeClr val="accent1">
                <a:lumMod val="75000"/>
              </a:schemeClr>
            </a:solidFill>
          </c:spPr>
          <c:invertIfNegative val="0"/>
          <c:dLbls>
            <c:spPr>
              <a:noFill/>
              <a:ln>
                <a:noFill/>
              </a:ln>
              <a:effectLst/>
            </c:spPr>
            <c:txPr>
              <a:bodyPr/>
              <a:lstStyle/>
              <a:p>
                <a:pPr algn="ctr">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Φύλλο1!$A$2:$A$4</c:f>
              <c:strCache>
                <c:ptCount val="3"/>
                <c:pt idx="0">
                  <c:v>ΖΗΤΗΣΗ</c:v>
                </c:pt>
                <c:pt idx="1">
                  <c:v>ΠΑΡΑΓΓΕΛΙΕΣ</c:v>
                </c:pt>
                <c:pt idx="2">
                  <c:v>ΤΙΜΕΣ</c:v>
                </c:pt>
              </c:strCache>
            </c:strRef>
          </c:cat>
          <c:val>
            <c:numRef>
              <c:f>Φύλλο1!$D$2:$D$4</c:f>
              <c:numCache>
                <c:formatCode>General</c:formatCode>
                <c:ptCount val="3"/>
                <c:pt idx="0">
                  <c:v>19.100000000000001</c:v>
                </c:pt>
                <c:pt idx="1">
                  <c:v>17.7</c:v>
                </c:pt>
                <c:pt idx="2">
                  <c:v>61.7</c:v>
                </c:pt>
              </c:numCache>
            </c:numRef>
          </c:val>
          <c:extLst>
            <c:ext xmlns:c16="http://schemas.microsoft.com/office/drawing/2014/chart" uri="{C3380CC4-5D6E-409C-BE32-E72D297353CC}">
              <c16:uniqueId val="{00000002-BB3A-4024-894D-E1612CBF869E}"/>
            </c:ext>
          </c:extLst>
        </c:ser>
        <c:ser>
          <c:idx val="3"/>
          <c:order val="3"/>
          <c:tx>
            <c:strRef>
              <c:f>Φύλλο1!$E$1</c:f>
              <c:strCache>
                <c:ptCount val="1"/>
                <c:pt idx="0">
                  <c:v>ΔΑ</c:v>
                </c:pt>
              </c:strCache>
            </c:strRef>
          </c:tx>
          <c:spPr>
            <a:solidFill>
              <a:schemeClr val="tx1">
                <a:lumMod val="50000"/>
                <a:lumOff val="50000"/>
              </a:schemeClr>
            </a:solidFill>
          </c:spPr>
          <c:invertIfNegative val="0"/>
          <c:dLbls>
            <c:dLbl>
              <c:idx val="0"/>
              <c:layout>
                <c:manualLayout>
                  <c:x val="1.8245099203536772E-2"/>
                  <c:y val="2.3517757286227454E-3"/>
                </c:manualLayout>
              </c:layout>
              <c:spPr/>
              <c:txPr>
                <a:bodyPr/>
                <a:lstStyle/>
                <a:p>
                  <a:pPr algn="ctr">
                    <a:defRPr/>
                  </a:pPr>
                  <a:endParaRPr lang="el-G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3A-4024-894D-E1612CBF869E}"/>
                </c:ext>
              </c:extLst>
            </c:dLbl>
            <c:dLbl>
              <c:idx val="1"/>
              <c:layout>
                <c:manualLayout>
                  <c:x val="2.6759478831853752E-2"/>
                  <c:y val="-8.6223991280179841E-17"/>
                </c:manualLayout>
              </c:layout>
              <c:spPr/>
              <c:txPr>
                <a:bodyPr/>
                <a:lstStyle/>
                <a:p>
                  <a:pPr algn="ctr">
                    <a:defRPr/>
                  </a:pPr>
                  <a:endParaRPr lang="el-G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B3A-4024-894D-E1612CBF869E}"/>
                </c:ext>
              </c:extLst>
            </c:dLbl>
            <c:dLbl>
              <c:idx val="2"/>
              <c:layout>
                <c:manualLayout>
                  <c:x val="2.6759478831853933E-2"/>
                  <c:y val="-8.6223991280179841E-17"/>
                </c:manualLayout>
              </c:layout>
              <c:spPr/>
              <c:txPr>
                <a:bodyPr/>
                <a:lstStyle/>
                <a:p>
                  <a:pPr algn="ctr">
                    <a:defRPr/>
                  </a:pPr>
                  <a:endParaRPr lang="el-G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B3A-4024-894D-E1612CBF869E}"/>
                </c:ext>
              </c:extLst>
            </c:dLbl>
            <c:dLbl>
              <c:idx val="3"/>
              <c:layout>
                <c:manualLayout>
                  <c:x val="3.8922878300878448E-2"/>
                  <c:y val="-8.6223991280179841E-17"/>
                </c:manualLayout>
              </c:layout>
              <c:spPr/>
              <c:txPr>
                <a:bodyPr/>
                <a:lstStyle/>
                <a:p>
                  <a:pPr algn="ctr">
                    <a:defRPr/>
                  </a:pPr>
                  <a:endParaRPr lang="el-G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B3A-4024-894D-E1612CBF869E}"/>
                </c:ext>
              </c:extLst>
            </c:dLbl>
            <c:dLbl>
              <c:idx val="4"/>
              <c:layout>
                <c:manualLayout>
                  <c:x val="3.2841178566366189E-2"/>
                  <c:y val="-8.6223991280179841E-17"/>
                </c:manualLayout>
              </c:layout>
              <c:spPr/>
              <c:txPr>
                <a:bodyPr/>
                <a:lstStyle/>
                <a:p>
                  <a:pPr algn="ctr">
                    <a:defRPr/>
                  </a:pPr>
                  <a:endParaRPr lang="el-G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B3A-4024-894D-E1612CBF869E}"/>
                </c:ext>
              </c:extLst>
            </c:dLbl>
            <c:dLbl>
              <c:idx val="5"/>
              <c:layout>
                <c:manualLayout>
                  <c:x val="2.6759478831853933E-2"/>
                  <c:y val="-2.3515905640114493E-3"/>
                </c:manualLayout>
              </c:layout>
              <c:spPr/>
              <c:txPr>
                <a:bodyPr/>
                <a:lstStyle/>
                <a:p>
                  <a:pPr algn="ctr">
                    <a:defRPr/>
                  </a:pPr>
                  <a:endParaRPr lang="el-G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B3A-4024-894D-E1612CBF869E}"/>
                </c:ext>
              </c:extLst>
            </c:dLbl>
            <c:dLbl>
              <c:idx val="6"/>
              <c:layout>
                <c:manualLayout>
                  <c:x val="4.1355558194683346E-2"/>
                  <c:y val="-2.3515905640114063E-3"/>
                </c:manualLayout>
              </c:layout>
              <c:spPr/>
              <c:txPr>
                <a:bodyPr/>
                <a:lstStyle/>
                <a:p>
                  <a:pPr algn="ctr">
                    <a:defRPr/>
                  </a:pPr>
                  <a:endParaRPr lang="el-G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B3A-4024-894D-E1612CBF869E}"/>
                </c:ext>
              </c:extLst>
            </c:dLbl>
            <c:spPr>
              <a:noFill/>
              <a:ln>
                <a:noFill/>
              </a:ln>
              <a:effectLst/>
            </c:spPr>
            <c:txPr>
              <a:bodyPr/>
              <a:lstStyle/>
              <a:p>
                <a:pPr algn="ctr">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Φύλλο1!$A$2:$A$4</c:f>
              <c:strCache>
                <c:ptCount val="3"/>
                <c:pt idx="0">
                  <c:v>ΖΗΤΗΣΗ</c:v>
                </c:pt>
                <c:pt idx="1">
                  <c:v>ΠΑΡΑΓΓΕΛΙΕΣ</c:v>
                </c:pt>
                <c:pt idx="2">
                  <c:v>ΤΙΜΕΣ</c:v>
                </c:pt>
              </c:strCache>
            </c:strRef>
          </c:cat>
          <c:val>
            <c:numRef>
              <c:f>Φύλλο1!$E$2:$E$4</c:f>
              <c:numCache>
                <c:formatCode>General</c:formatCode>
                <c:ptCount val="3"/>
                <c:pt idx="0">
                  <c:v>0.4</c:v>
                </c:pt>
                <c:pt idx="1">
                  <c:v>1.6</c:v>
                </c:pt>
                <c:pt idx="2">
                  <c:v>0.4</c:v>
                </c:pt>
              </c:numCache>
            </c:numRef>
          </c:val>
          <c:extLst>
            <c:ext xmlns:c16="http://schemas.microsoft.com/office/drawing/2014/chart" uri="{C3380CC4-5D6E-409C-BE32-E72D297353CC}">
              <c16:uniqueId val="{0000000A-BB3A-4024-894D-E1612CBF869E}"/>
            </c:ext>
          </c:extLst>
        </c:ser>
        <c:dLbls>
          <c:showLegendKey val="0"/>
          <c:showVal val="0"/>
          <c:showCatName val="0"/>
          <c:showSerName val="0"/>
          <c:showPercent val="0"/>
          <c:showBubbleSize val="0"/>
        </c:dLbls>
        <c:gapWidth val="50"/>
        <c:overlap val="100"/>
        <c:axId val="351144960"/>
        <c:axId val="351163136"/>
      </c:barChart>
      <c:catAx>
        <c:axId val="351144960"/>
        <c:scaling>
          <c:orientation val="maxMin"/>
        </c:scaling>
        <c:delete val="0"/>
        <c:axPos val="l"/>
        <c:numFmt formatCode="General" sourceLinked="0"/>
        <c:majorTickMark val="out"/>
        <c:minorTickMark val="none"/>
        <c:tickLblPos val="nextTo"/>
        <c:crossAx val="351163136"/>
        <c:crosses val="autoZero"/>
        <c:auto val="1"/>
        <c:lblAlgn val="ctr"/>
        <c:lblOffset val="100"/>
        <c:noMultiLvlLbl val="0"/>
      </c:catAx>
      <c:valAx>
        <c:axId val="351163136"/>
        <c:scaling>
          <c:orientation val="minMax"/>
        </c:scaling>
        <c:delete val="0"/>
        <c:axPos val="b"/>
        <c:majorGridlines/>
        <c:numFmt formatCode="0%" sourceLinked="1"/>
        <c:majorTickMark val="out"/>
        <c:minorTickMark val="none"/>
        <c:tickLblPos val="nextTo"/>
        <c:crossAx val="351144960"/>
        <c:crosses val="max"/>
        <c:crossBetween val="between"/>
      </c:valAx>
    </c:plotArea>
    <c:legend>
      <c:legendPos val="r"/>
      <c:layout>
        <c:manualLayout>
          <c:xMode val="edge"/>
          <c:yMode val="edge"/>
          <c:x val="0.16400945871914618"/>
          <c:y val="2.8154093989556716E-2"/>
          <c:w val="0.78739823927609576"/>
          <c:h val="6.201162833759212E-2"/>
        </c:manualLayout>
      </c:layout>
      <c:overlay val="0"/>
    </c:legend>
    <c:plotVisOnly val="1"/>
    <c:dispBlanksAs val="gap"/>
    <c:showDLblsOverMax val="0"/>
  </c:chart>
  <c:txPr>
    <a:bodyPr/>
    <a:lstStyle/>
    <a:p>
      <a:pPr>
        <a:defRPr sz="900">
          <a:latin typeface="Microsoft JhengHei UI" panose="020B0604030504040204" pitchFamily="34" charset="-120"/>
          <a:ea typeface="Microsoft JhengHei UI" panose="020B0604030504040204" pitchFamily="34" charset="-120"/>
        </a:defRPr>
      </a:pPr>
      <a:endParaRPr lang="el-GR"/>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121904894728009E-2"/>
          <c:y val="4.6907516080302844E-2"/>
          <c:w val="0.95567228148803007"/>
          <c:h val="0.75839100069550869"/>
        </c:manualLayout>
      </c:layout>
      <c:barChart>
        <c:barDir val="col"/>
        <c:grouping val="clustered"/>
        <c:varyColors val="0"/>
        <c:ser>
          <c:idx val="0"/>
          <c:order val="0"/>
          <c:tx>
            <c:strRef>
              <c:f>Φύλλο1!$B$1</c:f>
              <c:strCache>
                <c:ptCount val="1"/>
                <c:pt idx="0">
                  <c:v>Φεβρουάριος 2021</c:v>
                </c:pt>
              </c:strCache>
            </c:strRef>
          </c:tx>
          <c:spPr>
            <a:solidFill>
              <a:schemeClr val="accent1">
                <a:lumMod val="75000"/>
              </a:schemeClr>
            </a:solidFill>
            <a:ln>
              <a:noFill/>
            </a:ln>
          </c:spPr>
          <c:invertIfNegative val="0"/>
          <c:dPt>
            <c:idx val="0"/>
            <c:invertIfNegative val="0"/>
            <c:bubble3D val="0"/>
            <c:extLst>
              <c:ext xmlns:c16="http://schemas.microsoft.com/office/drawing/2014/chart" uri="{C3380CC4-5D6E-409C-BE32-E72D297353CC}">
                <c16:uniqueId val="{00000000-CE40-4D46-979F-1AE87E7D15C0}"/>
              </c:ext>
            </c:extLst>
          </c:dPt>
          <c:dPt>
            <c:idx val="1"/>
            <c:invertIfNegative val="0"/>
            <c:bubble3D val="0"/>
            <c:extLst>
              <c:ext xmlns:c16="http://schemas.microsoft.com/office/drawing/2014/chart" uri="{C3380CC4-5D6E-409C-BE32-E72D297353CC}">
                <c16:uniqueId val="{00000001-CE40-4D46-979F-1AE87E7D15C0}"/>
              </c:ext>
            </c:extLst>
          </c:dPt>
          <c:dPt>
            <c:idx val="2"/>
            <c:invertIfNegative val="0"/>
            <c:bubble3D val="0"/>
            <c:extLst>
              <c:ext xmlns:c16="http://schemas.microsoft.com/office/drawing/2014/chart" uri="{C3380CC4-5D6E-409C-BE32-E72D297353CC}">
                <c16:uniqueId val="{00000002-CE40-4D46-979F-1AE87E7D15C0}"/>
              </c:ext>
            </c:extLst>
          </c:dPt>
          <c:dPt>
            <c:idx val="3"/>
            <c:invertIfNegative val="0"/>
            <c:bubble3D val="0"/>
            <c:extLst>
              <c:ext xmlns:c16="http://schemas.microsoft.com/office/drawing/2014/chart" uri="{C3380CC4-5D6E-409C-BE32-E72D297353CC}">
                <c16:uniqueId val="{00000003-CE40-4D46-979F-1AE87E7D15C0}"/>
              </c:ext>
            </c:extLst>
          </c:dPt>
          <c:dPt>
            <c:idx val="5"/>
            <c:invertIfNegative val="0"/>
            <c:bubble3D val="0"/>
            <c:extLst>
              <c:ext xmlns:c16="http://schemas.microsoft.com/office/drawing/2014/chart" uri="{C3380CC4-5D6E-409C-BE32-E72D297353CC}">
                <c16:uniqueId val="{00000004-CE40-4D46-979F-1AE87E7D15C0}"/>
              </c:ext>
            </c:extLst>
          </c:dPt>
          <c:dPt>
            <c:idx val="9"/>
            <c:invertIfNegative val="0"/>
            <c:bubble3D val="0"/>
            <c:extLst>
              <c:ext xmlns:c16="http://schemas.microsoft.com/office/drawing/2014/chart" uri="{C3380CC4-5D6E-409C-BE32-E72D297353CC}">
                <c16:uniqueId val="{00000005-CE40-4D46-979F-1AE87E7D15C0}"/>
              </c:ext>
            </c:extLst>
          </c:dPt>
          <c:dLbls>
            <c:dLbl>
              <c:idx val="4"/>
              <c:spPr/>
              <c:txPr>
                <a:bodyPr/>
                <a:lstStyle/>
                <a:p>
                  <a:pPr algn="ctr">
                    <a:defRPr/>
                  </a:pPr>
                  <a:endParaRPr lang="el-GR"/>
                </a:p>
              </c:txPr>
              <c:dLblPos val="outEnd"/>
              <c:showLegendKey val="0"/>
              <c:showVal val="1"/>
              <c:showCatName val="0"/>
              <c:showSerName val="0"/>
              <c:showPercent val="0"/>
              <c:showBubbleSize val="0"/>
              <c:extLst>
                <c:ext xmlns:c16="http://schemas.microsoft.com/office/drawing/2014/chart" uri="{C3380CC4-5D6E-409C-BE32-E72D297353CC}">
                  <c16:uniqueId val="{00000006-A436-43D5-BFBD-5C0703B4303E}"/>
                </c:ext>
              </c:extLst>
            </c:dLbl>
            <c:dLbl>
              <c:idx val="5"/>
              <c:spPr/>
              <c:txPr>
                <a:bodyPr/>
                <a:lstStyle/>
                <a:p>
                  <a:pPr algn="ctr">
                    <a:defRPr/>
                  </a:pPr>
                  <a:endParaRPr lang="el-GR"/>
                </a:p>
              </c:txPr>
              <c:dLblPos val="outEnd"/>
              <c:showLegendKey val="0"/>
              <c:showVal val="1"/>
              <c:showCatName val="0"/>
              <c:showSerName val="0"/>
              <c:showPercent val="0"/>
              <c:showBubbleSize val="0"/>
              <c:extLst>
                <c:ext xmlns:c16="http://schemas.microsoft.com/office/drawing/2014/chart" uri="{C3380CC4-5D6E-409C-BE32-E72D297353CC}">
                  <c16:uniqueId val="{00000004-CE40-4D46-979F-1AE87E7D15C0}"/>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Φύλλο1!$A$2:$A$8</c:f>
              <c:strCache>
                <c:ptCount val="7"/>
                <c:pt idx="0">
                  <c:v>Δεν υπάρχουν ταμειακά διαθέσιμα</c:v>
                </c:pt>
                <c:pt idx="1">
                  <c:v>Λιγότερο από μήνα</c:v>
                </c:pt>
                <c:pt idx="2">
                  <c:v>Ένα μήνα</c:v>
                </c:pt>
                <c:pt idx="3">
                  <c:v>Δύο μήνες</c:v>
                </c:pt>
                <c:pt idx="4">
                  <c:v>3-4 μήνες</c:v>
                </c:pt>
                <c:pt idx="5">
                  <c:v>5-6 μήνες</c:v>
                </c:pt>
                <c:pt idx="6">
                  <c:v>Περισσότερο από 6 μήνες</c:v>
                </c:pt>
              </c:strCache>
            </c:strRef>
          </c:cat>
          <c:val>
            <c:numRef>
              <c:f>Φύλλο1!$B$2:$B$8</c:f>
              <c:numCache>
                <c:formatCode>General</c:formatCode>
                <c:ptCount val="7"/>
                <c:pt idx="0">
                  <c:v>24.7</c:v>
                </c:pt>
                <c:pt idx="1">
                  <c:v>9.6</c:v>
                </c:pt>
                <c:pt idx="2">
                  <c:v>14.4</c:v>
                </c:pt>
                <c:pt idx="3">
                  <c:v>13.7</c:v>
                </c:pt>
                <c:pt idx="4">
                  <c:v>12.9</c:v>
                </c:pt>
                <c:pt idx="5">
                  <c:v>10.3</c:v>
                </c:pt>
                <c:pt idx="6">
                  <c:v>7.6</c:v>
                </c:pt>
              </c:numCache>
            </c:numRef>
          </c:val>
          <c:extLst>
            <c:ext xmlns:c16="http://schemas.microsoft.com/office/drawing/2014/chart" uri="{C3380CC4-5D6E-409C-BE32-E72D297353CC}">
              <c16:uniqueId val="{00000007-CE40-4D46-979F-1AE87E7D15C0}"/>
            </c:ext>
          </c:extLst>
        </c:ser>
        <c:ser>
          <c:idx val="1"/>
          <c:order val="1"/>
          <c:tx>
            <c:strRef>
              <c:f>Φύλλο1!$C$1</c:f>
              <c:strCache>
                <c:ptCount val="1"/>
                <c:pt idx="0">
                  <c:v>Ιούνιος 2020</c:v>
                </c:pt>
              </c:strCache>
            </c:strRef>
          </c:tx>
          <c:spPr>
            <a:solidFill>
              <a:schemeClr val="accent1">
                <a:lumMod val="60000"/>
                <a:lumOff val="4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Φύλλο1!$A$2:$A$8</c:f>
              <c:strCache>
                <c:ptCount val="7"/>
                <c:pt idx="0">
                  <c:v>Δεν υπάρχουν ταμειακά διαθέσιμα</c:v>
                </c:pt>
                <c:pt idx="1">
                  <c:v>Λιγότερο από μήνα</c:v>
                </c:pt>
                <c:pt idx="2">
                  <c:v>Ένα μήνα</c:v>
                </c:pt>
                <c:pt idx="3">
                  <c:v>Δύο μήνες</c:v>
                </c:pt>
                <c:pt idx="4">
                  <c:v>3-4 μήνες</c:v>
                </c:pt>
                <c:pt idx="5">
                  <c:v>5-6 μήνες</c:v>
                </c:pt>
                <c:pt idx="6">
                  <c:v>Περισσότερο από 6 μήνες</c:v>
                </c:pt>
              </c:strCache>
            </c:strRef>
          </c:cat>
          <c:val>
            <c:numRef>
              <c:f>Φύλλο1!$C$2:$C$8</c:f>
              <c:numCache>
                <c:formatCode>General</c:formatCode>
                <c:ptCount val="7"/>
                <c:pt idx="0">
                  <c:v>14.8</c:v>
                </c:pt>
                <c:pt idx="1">
                  <c:v>10.7</c:v>
                </c:pt>
                <c:pt idx="2">
                  <c:v>15.2</c:v>
                </c:pt>
                <c:pt idx="3">
                  <c:v>13.7</c:v>
                </c:pt>
                <c:pt idx="4">
                  <c:v>14.8</c:v>
                </c:pt>
                <c:pt idx="5">
                  <c:v>9.9</c:v>
                </c:pt>
                <c:pt idx="6">
                  <c:v>10.6</c:v>
                </c:pt>
              </c:numCache>
            </c:numRef>
          </c:val>
          <c:extLst>
            <c:ext xmlns:c16="http://schemas.microsoft.com/office/drawing/2014/chart" uri="{C3380CC4-5D6E-409C-BE32-E72D297353CC}">
              <c16:uniqueId val="{00000008-CE40-4D46-979F-1AE87E7D15C0}"/>
            </c:ext>
          </c:extLst>
        </c:ser>
        <c:dLbls>
          <c:dLblPos val="outEnd"/>
          <c:showLegendKey val="0"/>
          <c:showVal val="1"/>
          <c:showCatName val="0"/>
          <c:showSerName val="0"/>
          <c:showPercent val="0"/>
          <c:showBubbleSize val="0"/>
        </c:dLbls>
        <c:gapWidth val="72"/>
        <c:overlap val="-10"/>
        <c:axId val="351192960"/>
        <c:axId val="351194496"/>
      </c:barChart>
      <c:catAx>
        <c:axId val="351192960"/>
        <c:scaling>
          <c:orientation val="minMax"/>
        </c:scaling>
        <c:delete val="0"/>
        <c:axPos val="b"/>
        <c:numFmt formatCode="General" sourceLinked="0"/>
        <c:majorTickMark val="out"/>
        <c:minorTickMark val="none"/>
        <c:tickLblPos val="nextTo"/>
        <c:txPr>
          <a:bodyPr/>
          <a:lstStyle/>
          <a:p>
            <a:pPr>
              <a:defRPr sz="700"/>
            </a:pPr>
            <a:endParaRPr lang="el-GR"/>
          </a:p>
        </c:txPr>
        <c:crossAx val="351194496"/>
        <c:crosses val="autoZero"/>
        <c:auto val="1"/>
        <c:lblAlgn val="ctr"/>
        <c:lblOffset val="100"/>
        <c:noMultiLvlLbl val="0"/>
      </c:catAx>
      <c:valAx>
        <c:axId val="351194496"/>
        <c:scaling>
          <c:orientation val="minMax"/>
          <c:min val="0"/>
        </c:scaling>
        <c:delete val="0"/>
        <c:axPos val="l"/>
        <c:numFmt formatCode="General" sourceLinked="1"/>
        <c:majorTickMark val="out"/>
        <c:minorTickMark val="none"/>
        <c:tickLblPos val="nextTo"/>
        <c:crossAx val="351192960"/>
        <c:crosses val="autoZero"/>
        <c:crossBetween val="between"/>
      </c:valAx>
    </c:plotArea>
    <c:legend>
      <c:legendPos val="t"/>
      <c:layout>
        <c:manualLayout>
          <c:xMode val="edge"/>
          <c:yMode val="edge"/>
          <c:x val="0.32662374431514779"/>
          <c:y val="9.6640708110057788E-2"/>
          <c:w val="0.34692946303457328"/>
          <c:h val="6.1855189606025512E-2"/>
        </c:manualLayout>
      </c:layout>
      <c:overlay val="0"/>
    </c:legend>
    <c:plotVisOnly val="1"/>
    <c:dispBlanksAs val="gap"/>
    <c:showDLblsOverMax val="0"/>
  </c:chart>
  <c:txPr>
    <a:bodyPr/>
    <a:lstStyle/>
    <a:p>
      <a:pPr>
        <a:defRPr sz="900">
          <a:latin typeface="Microsoft JhengHei UI" panose="020B0604030504040204" pitchFamily="34" charset="-120"/>
          <a:ea typeface="Microsoft JhengHei UI" panose="020B0604030504040204" pitchFamily="34" charset="-120"/>
        </a:defRPr>
      </a:pPr>
      <a:endParaRPr lang="el-GR"/>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6086545939340071E-2"/>
          <c:y val="9.4591703352405271E-2"/>
          <c:w val="0.94419215768381026"/>
          <c:h val="0.77744855606322094"/>
        </c:manualLayout>
      </c:layout>
      <c:lineChart>
        <c:grouping val="standard"/>
        <c:varyColors val="0"/>
        <c:ser>
          <c:idx val="0"/>
          <c:order val="0"/>
          <c:tx>
            <c:strRef>
              <c:f>Φύλλο1!$B$1</c:f>
              <c:strCache>
                <c:ptCount val="1"/>
                <c:pt idx="0">
                  <c:v>Αύξηση</c:v>
                </c:pt>
              </c:strCache>
            </c:strRef>
          </c:tx>
          <c:spPr>
            <a:ln>
              <a:solidFill>
                <a:schemeClr val="accent3">
                  <a:lumMod val="75000"/>
                </a:schemeClr>
              </a:solidFill>
            </a:ln>
          </c:spPr>
          <c:marker>
            <c:spPr>
              <a:solidFill>
                <a:schemeClr val="accent3">
                  <a:lumMod val="75000"/>
                </a:schemeClr>
              </a:solidFill>
              <a:ln>
                <a:solidFill>
                  <a:schemeClr val="accent3">
                    <a:lumMod val="75000"/>
                  </a:schemeClr>
                </a:solidFill>
              </a:ln>
            </c:spPr>
          </c:marker>
          <c:dLbls>
            <c:dLbl>
              <c:idx val="0"/>
              <c:layout>
                <c:manualLayout>
                  <c:x val="-3.1995888968088873E-2"/>
                  <c:y val="-2.5943842060666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70-4529-8CBE-17860096F5C8}"/>
                </c:ext>
              </c:extLst>
            </c:dLbl>
            <c:dLbl>
              <c:idx val="1"/>
              <c:layout>
                <c:manualLayout>
                  <c:x val="-2.1776282983795563E-2"/>
                  <c:y val="-3.61750850237205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70-4529-8CBE-17860096F5C8}"/>
                </c:ext>
              </c:extLst>
            </c:dLbl>
            <c:dLbl>
              <c:idx val="2"/>
              <c:layout>
                <c:manualLayout>
                  <c:x val="-3.2660980055714002E-2"/>
                  <c:y val="-3.07946383382445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170-4529-8CBE-17860096F5C8}"/>
                </c:ext>
              </c:extLst>
            </c:dLbl>
            <c:dLbl>
              <c:idx val="3"/>
              <c:layout>
                <c:manualLayout>
                  <c:x val="-3.6695541453999968E-2"/>
                  <c:y val="-2.79513213809576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170-4529-8CBE-17860096F5C8}"/>
                </c:ext>
              </c:extLst>
            </c:dLbl>
            <c:dLbl>
              <c:idx val="4"/>
              <c:layout>
                <c:manualLayout>
                  <c:x val="-3.3939220704977457E-2"/>
                  <c:y val="-3.36380534832779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170-4529-8CBE-17860096F5C8}"/>
                </c:ext>
              </c:extLst>
            </c:dLbl>
            <c:dLbl>
              <c:idx val="5"/>
              <c:layout>
                <c:manualLayout>
                  <c:x val="-2.8449003894638232E-2"/>
                  <c:y val="-3.35503766579832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170-4529-8CBE-17860096F5C8}"/>
                </c:ext>
              </c:extLst>
            </c:dLbl>
            <c:dLbl>
              <c:idx val="6"/>
              <c:layout>
                <c:manualLayout>
                  <c:x val="-2.4111427706289715E-2"/>
                  <c:y val="-3.66560833518497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170-4529-8CBE-17860096F5C8}"/>
                </c:ext>
              </c:extLst>
            </c:dLbl>
            <c:dLbl>
              <c:idx val="7"/>
              <c:layout>
                <c:manualLayout>
                  <c:x val="-3.2853130517646795E-2"/>
                  <c:y val="-4.17068086962145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170-4529-8CBE-17860096F5C8}"/>
                </c:ext>
              </c:extLst>
            </c:dLbl>
            <c:dLbl>
              <c:idx val="8"/>
              <c:layout>
                <c:manualLayout>
                  <c:x val="-1.5192359645401096E-2"/>
                  <c:y val="-3.58250124986112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170-4529-8CBE-17860096F5C8}"/>
                </c:ext>
              </c:extLst>
            </c:dLbl>
            <c:dLbl>
              <c:idx val="9"/>
              <c:layout>
                <c:manualLayout>
                  <c:x val="-2.0749328505982996E-2"/>
                  <c:y val="-3.58250124986116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170-4529-8CBE-17860096F5C8}"/>
                </c:ext>
              </c:extLst>
            </c:dLbl>
            <c:dLbl>
              <c:idx val="10"/>
              <c:layout>
                <c:manualLayout>
                  <c:x val="-3.9769546303134076E-2"/>
                  <c:y val="-2.7557701922008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170-4529-8CBE-17860096F5C8}"/>
                </c:ext>
              </c:extLst>
            </c:dLbl>
            <c:dLbl>
              <c:idx val="11"/>
              <c:layout>
                <c:manualLayout>
                  <c:x val="-2.0837949806522628E-2"/>
                  <c:y val="-3.306924230641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170-4529-8CBE-17860096F5C8}"/>
                </c:ext>
              </c:extLst>
            </c:dLbl>
            <c:dLbl>
              <c:idx val="12"/>
              <c:layout>
                <c:manualLayout>
                  <c:x val="-3.6311324885470252E-2"/>
                  <c:y val="-3.58250124986116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170-4529-8CBE-17860096F5C8}"/>
                </c:ext>
              </c:extLst>
            </c:dLbl>
            <c:dLbl>
              <c:idx val="13"/>
              <c:layout>
                <c:manualLayout>
                  <c:x val="-1.3832885670655413E-2"/>
                  <c:y val="-1.92903913454061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170-4529-8CBE-17860096F5C8}"/>
                </c:ext>
              </c:extLst>
            </c:dLbl>
            <c:dLbl>
              <c:idx val="14"/>
              <c:layout>
                <c:manualLayout>
                  <c:x val="-1.556213252993676E-2"/>
                  <c:y val="-3.03134721142095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170-4529-8CBE-17860096F5C8}"/>
                </c:ext>
              </c:extLst>
            </c:dLbl>
            <c:dLbl>
              <c:idx val="15"/>
              <c:layout>
                <c:manualLayout>
                  <c:x val="-1.7291107088319164E-2"/>
                  <c:y val="-3.03134721142095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170-4529-8CBE-17860096F5C8}"/>
                </c:ext>
              </c:extLst>
            </c:dLbl>
            <c:dLbl>
              <c:idx val="16"/>
              <c:layout>
                <c:manualLayout>
                  <c:x val="-2.247843921481479E-2"/>
                  <c:y val="-2.75577019220086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170-4529-8CBE-17860096F5C8}"/>
                </c:ext>
              </c:extLst>
            </c:dLbl>
            <c:dLbl>
              <c:idx val="17"/>
              <c:layout>
                <c:manualLayout>
                  <c:x val="-2.7208208749752556E-2"/>
                  <c:y val="-2.75577019220087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170-4529-8CBE-17860096F5C8}"/>
                </c:ext>
              </c:extLst>
            </c:dLbl>
            <c:dLbl>
              <c:idx val="18"/>
              <c:layout>
                <c:manualLayout>
                  <c:x val="-2.0718712413596557E-2"/>
                  <c:y val="-3.30692423064103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42-4CDC-912C-4EBF2B31AC13}"/>
                </c:ext>
              </c:extLst>
            </c:dLbl>
            <c:dLbl>
              <c:idx val="19"/>
              <c:layout>
                <c:manualLayout>
                  <c:x val="-1.5299746823682438E-2"/>
                  <c:y val="-3.8672300108827863E-2"/>
                </c:manualLayout>
              </c:layout>
              <c:showLegendKey val="0"/>
              <c:showVal val="1"/>
              <c:showCatName val="0"/>
              <c:showSerName val="0"/>
              <c:showPercent val="0"/>
              <c:showBubbleSize val="0"/>
              <c:extLst>
                <c:ext xmlns:c15="http://schemas.microsoft.com/office/drawing/2012/chart" uri="{CE6537A1-D6FC-4f65-9D91-7224C49458BB}">
                  <c15:layout>
                    <c:manualLayout>
                      <c:w val="4.176878897513802E-2"/>
                      <c:h val="4.8639343892345296E-2"/>
                    </c:manualLayout>
                  </c15:layout>
                </c:ext>
                <c:ext xmlns:c16="http://schemas.microsoft.com/office/drawing/2014/chart" uri="{C3380CC4-5D6E-409C-BE32-E72D297353CC}">
                  <c16:uniqueId val="{00000002-1D05-4246-9D31-6FB4FD939F5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Φύλλο1!$A$2:$A$24</c:f>
              <c:strCache>
                <c:ptCount val="23"/>
                <c:pt idx="0">
                  <c:v>B2009</c:v>
                </c:pt>
                <c:pt idx="1">
                  <c:v>Α2010</c:v>
                </c:pt>
                <c:pt idx="2">
                  <c:v>Β2010</c:v>
                </c:pt>
                <c:pt idx="3">
                  <c:v>Α2011</c:v>
                </c:pt>
                <c:pt idx="4">
                  <c:v>Β2011</c:v>
                </c:pt>
                <c:pt idx="5">
                  <c:v>Α2012</c:v>
                </c:pt>
                <c:pt idx="6">
                  <c:v>Β2012</c:v>
                </c:pt>
                <c:pt idx="7">
                  <c:v>Α2013</c:v>
                </c:pt>
                <c:pt idx="8">
                  <c:v>Β2013</c:v>
                </c:pt>
                <c:pt idx="9">
                  <c:v>Α2014</c:v>
                </c:pt>
                <c:pt idx="10">
                  <c:v>Β2014</c:v>
                </c:pt>
                <c:pt idx="11">
                  <c:v>Α2015</c:v>
                </c:pt>
                <c:pt idx="12">
                  <c:v>Β2015</c:v>
                </c:pt>
                <c:pt idx="13">
                  <c:v>Α2016</c:v>
                </c:pt>
                <c:pt idx="14">
                  <c:v>Β2016</c:v>
                </c:pt>
                <c:pt idx="15">
                  <c:v>Α2017</c:v>
                </c:pt>
                <c:pt idx="16">
                  <c:v>Β2017</c:v>
                </c:pt>
                <c:pt idx="17">
                  <c:v>Α2018</c:v>
                </c:pt>
                <c:pt idx="18">
                  <c:v>Β2018</c:v>
                </c:pt>
                <c:pt idx="19">
                  <c:v>Α2019</c:v>
                </c:pt>
                <c:pt idx="20">
                  <c:v>Β2019</c:v>
                </c:pt>
                <c:pt idx="21">
                  <c:v>Α2020</c:v>
                </c:pt>
                <c:pt idx="22">
                  <c:v>Β2020</c:v>
                </c:pt>
              </c:strCache>
            </c:strRef>
          </c:cat>
          <c:val>
            <c:numRef>
              <c:f>Φύλλο1!$B$2:$B$24</c:f>
              <c:numCache>
                <c:formatCode>General</c:formatCode>
                <c:ptCount val="23"/>
                <c:pt idx="0">
                  <c:v>4.9000000000000004</c:v>
                </c:pt>
                <c:pt idx="1">
                  <c:v>3.7</c:v>
                </c:pt>
                <c:pt idx="2">
                  <c:v>3.8</c:v>
                </c:pt>
                <c:pt idx="3">
                  <c:v>4.5999999999999996</c:v>
                </c:pt>
                <c:pt idx="4">
                  <c:v>5.8</c:v>
                </c:pt>
                <c:pt idx="5">
                  <c:v>6.9</c:v>
                </c:pt>
                <c:pt idx="6">
                  <c:v>5.7</c:v>
                </c:pt>
                <c:pt idx="7">
                  <c:v>9.6</c:v>
                </c:pt>
                <c:pt idx="8">
                  <c:v>6.2</c:v>
                </c:pt>
                <c:pt idx="9">
                  <c:v>8.6999999999999993</c:v>
                </c:pt>
                <c:pt idx="10">
                  <c:v>12.1</c:v>
                </c:pt>
                <c:pt idx="11">
                  <c:v>4.9000000000000004</c:v>
                </c:pt>
                <c:pt idx="12">
                  <c:v>6.8</c:v>
                </c:pt>
                <c:pt idx="13">
                  <c:v>9.1</c:v>
                </c:pt>
                <c:pt idx="14">
                  <c:v>7.7</c:v>
                </c:pt>
                <c:pt idx="15">
                  <c:v>8.1999999999999993</c:v>
                </c:pt>
                <c:pt idx="16">
                  <c:v>20.399999999999999</c:v>
                </c:pt>
                <c:pt idx="17">
                  <c:v>15.1</c:v>
                </c:pt>
                <c:pt idx="18">
                  <c:v>13</c:v>
                </c:pt>
                <c:pt idx="19" formatCode="0.0">
                  <c:v>14.88833746898263</c:v>
                </c:pt>
                <c:pt idx="20">
                  <c:v>16.2</c:v>
                </c:pt>
                <c:pt idx="21">
                  <c:v>8.6999999999999993</c:v>
                </c:pt>
                <c:pt idx="22">
                  <c:v>10.5</c:v>
                </c:pt>
              </c:numCache>
            </c:numRef>
          </c:val>
          <c:smooth val="0"/>
          <c:extLst>
            <c:ext xmlns:c16="http://schemas.microsoft.com/office/drawing/2014/chart" uri="{C3380CC4-5D6E-409C-BE32-E72D297353CC}">
              <c16:uniqueId val="{00000012-3170-4529-8CBE-17860096F5C8}"/>
            </c:ext>
          </c:extLst>
        </c:ser>
        <c:dLbls>
          <c:showLegendKey val="0"/>
          <c:showVal val="0"/>
          <c:showCatName val="0"/>
          <c:showSerName val="0"/>
          <c:showPercent val="0"/>
          <c:showBubbleSize val="0"/>
        </c:dLbls>
        <c:marker val="1"/>
        <c:smooth val="0"/>
        <c:axId val="351555968"/>
        <c:axId val="351557504"/>
      </c:lineChart>
      <c:catAx>
        <c:axId val="351555968"/>
        <c:scaling>
          <c:orientation val="minMax"/>
        </c:scaling>
        <c:delete val="0"/>
        <c:axPos val="b"/>
        <c:numFmt formatCode="General" sourceLinked="0"/>
        <c:majorTickMark val="out"/>
        <c:minorTickMark val="none"/>
        <c:tickLblPos val="nextTo"/>
        <c:txPr>
          <a:bodyPr/>
          <a:lstStyle/>
          <a:p>
            <a:pPr>
              <a:defRPr sz="700"/>
            </a:pPr>
            <a:endParaRPr lang="el-GR"/>
          </a:p>
        </c:txPr>
        <c:crossAx val="351557504"/>
        <c:crosses val="autoZero"/>
        <c:auto val="1"/>
        <c:lblAlgn val="ctr"/>
        <c:lblOffset val="100"/>
        <c:noMultiLvlLbl val="0"/>
      </c:catAx>
      <c:valAx>
        <c:axId val="351557504"/>
        <c:scaling>
          <c:orientation val="minMax"/>
        </c:scaling>
        <c:delete val="0"/>
        <c:axPos val="l"/>
        <c:majorGridlines/>
        <c:numFmt formatCode="General" sourceLinked="1"/>
        <c:majorTickMark val="out"/>
        <c:minorTickMark val="none"/>
        <c:tickLblPos val="nextTo"/>
        <c:crossAx val="351555968"/>
        <c:crosses val="autoZero"/>
        <c:crossBetween val="between"/>
      </c:valAx>
    </c:plotArea>
    <c:plotVisOnly val="1"/>
    <c:dispBlanksAs val="gap"/>
    <c:showDLblsOverMax val="0"/>
  </c:chart>
  <c:txPr>
    <a:bodyPr/>
    <a:lstStyle/>
    <a:p>
      <a:pPr>
        <a:defRPr sz="800"/>
      </a:pPr>
      <a:endParaRPr lang="el-GR"/>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511087846543614"/>
          <c:y val="5.1815130209197535E-2"/>
          <c:w val="0.7572887020838468"/>
          <c:h val="0.91781041525690943"/>
        </c:manualLayout>
      </c:layout>
      <c:barChart>
        <c:barDir val="bar"/>
        <c:grouping val="percentStacked"/>
        <c:varyColors val="0"/>
        <c:ser>
          <c:idx val="0"/>
          <c:order val="0"/>
          <c:tx>
            <c:strRef>
              <c:f>Φύλλο1!$B$1</c:f>
              <c:strCache>
                <c:ptCount val="1"/>
                <c:pt idx="0">
                  <c:v>Αυξήθηκε </c:v>
                </c:pt>
              </c:strCache>
            </c:strRef>
          </c:tx>
          <c:spPr>
            <a:solidFill>
              <a:schemeClr val="accent3">
                <a:lumMod val="75000"/>
              </a:schemeClr>
            </a:solidFill>
          </c:spPr>
          <c:invertIfNegative val="0"/>
          <c:dLbls>
            <c:dLbl>
              <c:idx val="15"/>
              <c:delete val="1"/>
              <c:extLst>
                <c:ext xmlns:c15="http://schemas.microsoft.com/office/drawing/2012/chart" uri="{CE6537A1-D6FC-4f65-9D91-7224C49458BB}"/>
                <c:ext xmlns:c16="http://schemas.microsoft.com/office/drawing/2014/chart" uri="{C3380CC4-5D6E-409C-BE32-E72D297353CC}">
                  <c16:uniqueId val="{00000018-CF57-48D2-9AA4-192E1C62F88D}"/>
                </c:ext>
              </c:extLst>
            </c:dLbl>
            <c:dLbl>
              <c:idx val="20"/>
              <c:layout>
                <c:manualLayout>
                  <c:x val="-1.2144410233970192E-2"/>
                  <c:y val="-2.24952968727303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57-48D2-9AA4-192E1C62F88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Φύλλο1!$A$2:$A$15</c:f>
              <c:strCache>
                <c:ptCount val="14"/>
                <c:pt idx="0">
                  <c:v>ΚΛΑΔΟΣ</c:v>
                </c:pt>
                <c:pt idx="1">
                  <c:v>Εμπόριο</c:v>
                </c:pt>
                <c:pt idx="2">
                  <c:v>Μεταποίηση- βιοτεχνία</c:v>
                </c:pt>
                <c:pt idx="3">
                  <c:v>Υπηρεσίες</c:v>
                </c:pt>
                <c:pt idx="4">
                  <c:v>ΕΤΗΣΙΟΣ ΤΖΙΡΟΣ</c:v>
                </c:pt>
                <c:pt idx="5">
                  <c:v>Έως 50.000</c:v>
                </c:pt>
                <c:pt idx="6">
                  <c:v>50.000-100.000</c:v>
                </c:pt>
                <c:pt idx="7">
                  <c:v>100.000- 300.000</c:v>
                </c:pt>
                <c:pt idx="8">
                  <c:v>Πάνω από 300.000</c:v>
                </c:pt>
                <c:pt idx="9">
                  <c:v>ΠΕΡΙΟΧΗ</c:v>
                </c:pt>
                <c:pt idx="10">
                  <c:v>EL1_ATTIKH</c:v>
                </c:pt>
                <c:pt idx="11">
                  <c:v>EL2_ΝΗΣΙΑ ΑΙΓΑΙΟΥ &amp; ΚΡΗΤΗ</c:v>
                </c:pt>
                <c:pt idx="12">
                  <c:v>EL3_ΒΟΡΕΙΑ ΕΛΛΑΔΑ</c:v>
                </c:pt>
                <c:pt idx="13">
                  <c:v>EL4_ΚΕΝΤΡΙΚΗ ΕΛΛΑΔΑ</c:v>
                </c:pt>
              </c:strCache>
            </c:strRef>
          </c:cat>
          <c:val>
            <c:numRef>
              <c:f>Φύλλο1!$B$2:$B$15</c:f>
              <c:numCache>
                <c:formatCode>General</c:formatCode>
                <c:ptCount val="14"/>
                <c:pt idx="1">
                  <c:v>8.1</c:v>
                </c:pt>
                <c:pt idx="2">
                  <c:v>5.6</c:v>
                </c:pt>
                <c:pt idx="3">
                  <c:v>4.8</c:v>
                </c:pt>
                <c:pt idx="5">
                  <c:v>2</c:v>
                </c:pt>
                <c:pt idx="6">
                  <c:v>5.4</c:v>
                </c:pt>
                <c:pt idx="7">
                  <c:v>6.9</c:v>
                </c:pt>
                <c:pt idx="8">
                  <c:v>17.399999999999999</c:v>
                </c:pt>
                <c:pt idx="10">
                  <c:v>5.3999999999999995</c:v>
                </c:pt>
                <c:pt idx="11">
                  <c:v>5.6999999999999993</c:v>
                </c:pt>
                <c:pt idx="12">
                  <c:v>7.5</c:v>
                </c:pt>
                <c:pt idx="13">
                  <c:v>6.4</c:v>
                </c:pt>
              </c:numCache>
            </c:numRef>
          </c:val>
          <c:extLst>
            <c:ext xmlns:c16="http://schemas.microsoft.com/office/drawing/2014/chart" uri="{C3380CC4-5D6E-409C-BE32-E72D297353CC}">
              <c16:uniqueId val="{00000001-CF57-48D2-9AA4-192E1C62F88D}"/>
            </c:ext>
          </c:extLst>
        </c:ser>
        <c:ser>
          <c:idx val="1"/>
          <c:order val="1"/>
          <c:tx>
            <c:strRef>
              <c:f>Φύλλο1!$C$1</c:f>
              <c:strCache>
                <c:ptCount val="1"/>
                <c:pt idx="0">
                  <c:v>Μειώθηκε</c:v>
                </c:pt>
              </c:strCache>
            </c:strRef>
          </c:tx>
          <c:invertIfNegative val="0"/>
          <c:dLbls>
            <c:spPr>
              <a:noFill/>
              <a:ln>
                <a:noFill/>
              </a:ln>
              <a:effectLst/>
            </c:spPr>
            <c:txPr>
              <a:bodyPr/>
              <a:lstStyle/>
              <a:p>
                <a:pPr algn="ctr">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Φύλλο1!$A$2:$A$15</c:f>
              <c:strCache>
                <c:ptCount val="14"/>
                <c:pt idx="0">
                  <c:v>ΚΛΑΔΟΣ</c:v>
                </c:pt>
                <c:pt idx="1">
                  <c:v>Εμπόριο</c:v>
                </c:pt>
                <c:pt idx="2">
                  <c:v>Μεταποίηση- βιοτεχνία</c:v>
                </c:pt>
                <c:pt idx="3">
                  <c:v>Υπηρεσίες</c:v>
                </c:pt>
                <c:pt idx="4">
                  <c:v>ΕΤΗΣΙΟΣ ΤΖΙΡΟΣ</c:v>
                </c:pt>
                <c:pt idx="5">
                  <c:v>Έως 50.000</c:v>
                </c:pt>
                <c:pt idx="6">
                  <c:v>50.000-100.000</c:v>
                </c:pt>
                <c:pt idx="7">
                  <c:v>100.000- 300.000</c:v>
                </c:pt>
                <c:pt idx="8">
                  <c:v>Πάνω από 300.000</c:v>
                </c:pt>
                <c:pt idx="9">
                  <c:v>ΠΕΡΙΟΧΗ</c:v>
                </c:pt>
                <c:pt idx="10">
                  <c:v>EL1_ATTIKH</c:v>
                </c:pt>
                <c:pt idx="11">
                  <c:v>EL2_ΝΗΣΙΑ ΑΙΓΑΙΟΥ &amp; ΚΡΗΤΗ</c:v>
                </c:pt>
                <c:pt idx="12">
                  <c:v>EL3_ΒΟΡΕΙΑ ΕΛΛΑΔΑ</c:v>
                </c:pt>
                <c:pt idx="13">
                  <c:v>EL4_ΚΕΝΤΡΙΚΗ ΕΛΛΑΔΑ</c:v>
                </c:pt>
              </c:strCache>
            </c:strRef>
          </c:cat>
          <c:val>
            <c:numRef>
              <c:f>Φύλλο1!$C$2:$C$15</c:f>
              <c:numCache>
                <c:formatCode>General</c:formatCode>
                <c:ptCount val="14"/>
                <c:pt idx="1">
                  <c:v>5.4</c:v>
                </c:pt>
                <c:pt idx="2">
                  <c:v>10.8</c:v>
                </c:pt>
                <c:pt idx="3">
                  <c:v>11.2</c:v>
                </c:pt>
                <c:pt idx="5">
                  <c:v>9</c:v>
                </c:pt>
                <c:pt idx="6">
                  <c:v>10.100000000000001</c:v>
                </c:pt>
                <c:pt idx="7">
                  <c:v>10.5</c:v>
                </c:pt>
                <c:pt idx="8">
                  <c:v>7.9</c:v>
                </c:pt>
                <c:pt idx="10">
                  <c:v>5.0999999999999996</c:v>
                </c:pt>
                <c:pt idx="11">
                  <c:v>17.399999999999999</c:v>
                </c:pt>
                <c:pt idx="12">
                  <c:v>7.4</c:v>
                </c:pt>
                <c:pt idx="13">
                  <c:v>12.3</c:v>
                </c:pt>
              </c:numCache>
            </c:numRef>
          </c:val>
          <c:extLst>
            <c:ext xmlns:c16="http://schemas.microsoft.com/office/drawing/2014/chart" uri="{C3380CC4-5D6E-409C-BE32-E72D297353CC}">
              <c16:uniqueId val="{00000002-CF57-48D2-9AA4-192E1C62F88D}"/>
            </c:ext>
          </c:extLst>
        </c:ser>
        <c:ser>
          <c:idx val="2"/>
          <c:order val="2"/>
          <c:tx>
            <c:strRef>
              <c:f>Φύλλο1!$D$1</c:f>
              <c:strCache>
                <c:ptCount val="1"/>
                <c:pt idx="0">
                  <c:v>Παρέμεινε σταθερό</c:v>
                </c:pt>
              </c:strCache>
            </c:strRef>
          </c:tx>
          <c:spPr>
            <a:solidFill>
              <a:schemeClr val="accent1">
                <a:lumMod val="75000"/>
              </a:schemeClr>
            </a:solidFill>
          </c:spPr>
          <c:invertIfNegative val="0"/>
          <c:dLbls>
            <c:spPr>
              <a:noFill/>
              <a:ln>
                <a:noFill/>
              </a:ln>
              <a:effectLst/>
            </c:spPr>
            <c:txPr>
              <a:bodyPr/>
              <a:lstStyle/>
              <a:p>
                <a:pPr algn="ctr">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Φύλλο1!$A$2:$A$15</c:f>
              <c:strCache>
                <c:ptCount val="14"/>
                <c:pt idx="0">
                  <c:v>ΚΛΑΔΟΣ</c:v>
                </c:pt>
                <c:pt idx="1">
                  <c:v>Εμπόριο</c:v>
                </c:pt>
                <c:pt idx="2">
                  <c:v>Μεταποίηση- βιοτεχνία</c:v>
                </c:pt>
                <c:pt idx="3">
                  <c:v>Υπηρεσίες</c:v>
                </c:pt>
                <c:pt idx="4">
                  <c:v>ΕΤΗΣΙΟΣ ΤΖΙΡΟΣ</c:v>
                </c:pt>
                <c:pt idx="5">
                  <c:v>Έως 50.000</c:v>
                </c:pt>
                <c:pt idx="6">
                  <c:v>50.000-100.000</c:v>
                </c:pt>
                <c:pt idx="7">
                  <c:v>100.000- 300.000</c:v>
                </c:pt>
                <c:pt idx="8">
                  <c:v>Πάνω από 300.000</c:v>
                </c:pt>
                <c:pt idx="9">
                  <c:v>ΠΕΡΙΟΧΗ</c:v>
                </c:pt>
                <c:pt idx="10">
                  <c:v>EL1_ATTIKH</c:v>
                </c:pt>
                <c:pt idx="11">
                  <c:v>EL2_ΝΗΣΙΑ ΑΙΓΑΙΟΥ &amp; ΚΡΗΤΗ</c:v>
                </c:pt>
                <c:pt idx="12">
                  <c:v>EL3_ΒΟΡΕΙΑ ΕΛΛΑΔΑ</c:v>
                </c:pt>
                <c:pt idx="13">
                  <c:v>EL4_ΚΕΝΤΡΙΚΗ ΕΛΛΑΔΑ</c:v>
                </c:pt>
              </c:strCache>
            </c:strRef>
          </c:cat>
          <c:val>
            <c:numRef>
              <c:f>Φύλλο1!$D$2:$D$15</c:f>
              <c:numCache>
                <c:formatCode>General</c:formatCode>
                <c:ptCount val="14"/>
                <c:pt idx="1">
                  <c:v>86.5</c:v>
                </c:pt>
                <c:pt idx="2">
                  <c:v>83.5</c:v>
                </c:pt>
                <c:pt idx="3">
                  <c:v>83.3</c:v>
                </c:pt>
                <c:pt idx="5">
                  <c:v>88.8</c:v>
                </c:pt>
                <c:pt idx="6">
                  <c:v>84.6</c:v>
                </c:pt>
                <c:pt idx="7">
                  <c:v>81.7</c:v>
                </c:pt>
                <c:pt idx="8">
                  <c:v>74.599999999999994</c:v>
                </c:pt>
                <c:pt idx="10">
                  <c:v>89.4</c:v>
                </c:pt>
                <c:pt idx="11">
                  <c:v>76</c:v>
                </c:pt>
                <c:pt idx="12">
                  <c:v>84.7</c:v>
                </c:pt>
                <c:pt idx="13">
                  <c:v>81.400000000000006</c:v>
                </c:pt>
              </c:numCache>
            </c:numRef>
          </c:val>
          <c:extLst>
            <c:ext xmlns:c16="http://schemas.microsoft.com/office/drawing/2014/chart" uri="{C3380CC4-5D6E-409C-BE32-E72D297353CC}">
              <c16:uniqueId val="{00000003-CF57-48D2-9AA4-192E1C62F88D}"/>
            </c:ext>
          </c:extLst>
        </c:ser>
        <c:dLbls>
          <c:showLegendKey val="0"/>
          <c:showVal val="0"/>
          <c:showCatName val="0"/>
          <c:showSerName val="0"/>
          <c:showPercent val="0"/>
          <c:showBubbleSize val="0"/>
        </c:dLbls>
        <c:gapWidth val="30"/>
        <c:overlap val="100"/>
        <c:axId val="351639040"/>
        <c:axId val="351640576"/>
      </c:barChart>
      <c:catAx>
        <c:axId val="351639040"/>
        <c:scaling>
          <c:orientation val="maxMin"/>
        </c:scaling>
        <c:delete val="0"/>
        <c:axPos val="l"/>
        <c:numFmt formatCode="General" sourceLinked="0"/>
        <c:majorTickMark val="out"/>
        <c:minorTickMark val="none"/>
        <c:tickLblPos val="nextTo"/>
        <c:crossAx val="351640576"/>
        <c:crosses val="autoZero"/>
        <c:auto val="1"/>
        <c:lblAlgn val="ctr"/>
        <c:lblOffset val="100"/>
        <c:noMultiLvlLbl val="0"/>
      </c:catAx>
      <c:valAx>
        <c:axId val="351640576"/>
        <c:scaling>
          <c:orientation val="minMax"/>
        </c:scaling>
        <c:delete val="0"/>
        <c:axPos val="b"/>
        <c:majorGridlines/>
        <c:numFmt formatCode="0%" sourceLinked="1"/>
        <c:majorTickMark val="out"/>
        <c:minorTickMark val="none"/>
        <c:tickLblPos val="nextTo"/>
        <c:crossAx val="351639040"/>
        <c:crosses val="max"/>
        <c:crossBetween val="between"/>
      </c:valAx>
    </c:plotArea>
    <c:legend>
      <c:legendPos val="r"/>
      <c:layout>
        <c:manualLayout>
          <c:xMode val="edge"/>
          <c:yMode val="edge"/>
          <c:x val="0.21995343813991242"/>
          <c:y val="1.8591081240987887E-3"/>
          <c:w val="0.75819738122190627"/>
          <c:h val="4.5842669717794694E-2"/>
        </c:manualLayout>
      </c:layout>
      <c:overlay val="0"/>
    </c:legend>
    <c:plotVisOnly val="1"/>
    <c:dispBlanksAs val="gap"/>
    <c:showDLblsOverMax val="0"/>
  </c:chart>
  <c:txPr>
    <a:bodyPr/>
    <a:lstStyle/>
    <a:p>
      <a:pPr>
        <a:defRPr sz="800">
          <a:solidFill>
            <a:schemeClr val="tx1"/>
          </a:solidFill>
          <a:latin typeface="Microsoft JhengHei UI" panose="020B0604030504040204" pitchFamily="34" charset="-120"/>
          <a:ea typeface="Microsoft JhengHei UI" panose="020B0604030504040204" pitchFamily="34" charset="-120"/>
        </a:defRPr>
      </a:pPr>
      <a:endParaRPr lang="el-GR"/>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884608733201718"/>
          <c:y val="0.10526040035955612"/>
          <c:w val="0.77812960509629525"/>
          <c:h val="0.83061961970555465"/>
        </c:manualLayout>
      </c:layout>
      <c:barChart>
        <c:barDir val="bar"/>
        <c:grouping val="percentStacked"/>
        <c:varyColors val="0"/>
        <c:ser>
          <c:idx val="0"/>
          <c:order val="0"/>
          <c:tx>
            <c:strRef>
              <c:f>Φύλλο1!$B$1</c:f>
              <c:strCache>
                <c:ptCount val="1"/>
                <c:pt idx="0">
                  <c:v>Αύξηση</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Φύλλο1!$A$2:$A$6</c:f>
              <c:strCache>
                <c:ptCount val="5"/>
                <c:pt idx="0">
                  <c:v>ΖΗΤΗΣΗ</c:v>
                </c:pt>
                <c:pt idx="1">
                  <c:v>ΡΕΥΣΤΟΤΗΤΑ</c:v>
                </c:pt>
                <c:pt idx="2">
                  <c:v>ΚΥΚΛΟΣ ΕΡΓΑΣΙΩΝ</c:v>
                </c:pt>
                <c:pt idx="3">
                  <c:v>ΠΑΡΑΓΓΕΛΙΕΣ</c:v>
                </c:pt>
                <c:pt idx="4">
                  <c:v>ΑΠΑΣΧΟΛΗΣΗ</c:v>
                </c:pt>
              </c:strCache>
            </c:strRef>
          </c:cat>
          <c:val>
            <c:numRef>
              <c:f>Φύλλο1!$B$2:$B$6</c:f>
              <c:numCache>
                <c:formatCode>General</c:formatCode>
                <c:ptCount val="5"/>
                <c:pt idx="0">
                  <c:v>15.6</c:v>
                </c:pt>
                <c:pt idx="1">
                  <c:v>13.1</c:v>
                </c:pt>
                <c:pt idx="2">
                  <c:v>13.1</c:v>
                </c:pt>
                <c:pt idx="3">
                  <c:v>12.4</c:v>
                </c:pt>
                <c:pt idx="4">
                  <c:v>7.4</c:v>
                </c:pt>
              </c:numCache>
            </c:numRef>
          </c:val>
          <c:extLst>
            <c:ext xmlns:c16="http://schemas.microsoft.com/office/drawing/2014/chart" uri="{C3380CC4-5D6E-409C-BE32-E72D297353CC}">
              <c16:uniqueId val="{00000000-0A2B-4336-B868-B8C1870702DE}"/>
            </c:ext>
          </c:extLst>
        </c:ser>
        <c:ser>
          <c:idx val="1"/>
          <c:order val="1"/>
          <c:tx>
            <c:strRef>
              <c:f>Φύλλο1!$C$1</c:f>
              <c:strCache>
                <c:ptCount val="1"/>
                <c:pt idx="0">
                  <c:v>Μείωση</c:v>
                </c:pt>
              </c:strCache>
            </c:strRef>
          </c:tx>
          <c:invertIfNegative val="0"/>
          <c:dLbls>
            <c:spPr>
              <a:noFill/>
              <a:ln>
                <a:noFill/>
              </a:ln>
              <a:effectLst/>
            </c:spPr>
            <c:txPr>
              <a:bodyPr/>
              <a:lstStyle/>
              <a:p>
                <a:pPr algn="ctr">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Φύλλο1!$A$2:$A$6</c:f>
              <c:strCache>
                <c:ptCount val="5"/>
                <c:pt idx="0">
                  <c:v>ΖΗΤΗΣΗ</c:v>
                </c:pt>
                <c:pt idx="1">
                  <c:v>ΡΕΥΣΤΟΤΗΤΑ</c:v>
                </c:pt>
                <c:pt idx="2">
                  <c:v>ΚΥΚΛΟΣ ΕΡΓΑΣΙΩΝ</c:v>
                </c:pt>
                <c:pt idx="3">
                  <c:v>ΠΑΡΑΓΓΕΛΙΕΣ</c:v>
                </c:pt>
                <c:pt idx="4">
                  <c:v>ΑΠΑΣΧΟΛΗΣΗ</c:v>
                </c:pt>
              </c:strCache>
            </c:strRef>
          </c:cat>
          <c:val>
            <c:numRef>
              <c:f>Φύλλο1!$C$2:$C$6</c:f>
              <c:numCache>
                <c:formatCode>General</c:formatCode>
                <c:ptCount val="5"/>
                <c:pt idx="0">
                  <c:v>52.8</c:v>
                </c:pt>
                <c:pt idx="1">
                  <c:v>56.7</c:v>
                </c:pt>
                <c:pt idx="2">
                  <c:v>53.6</c:v>
                </c:pt>
                <c:pt idx="3">
                  <c:v>54.6</c:v>
                </c:pt>
                <c:pt idx="4">
                  <c:v>3.4</c:v>
                </c:pt>
              </c:numCache>
            </c:numRef>
          </c:val>
          <c:extLst>
            <c:ext xmlns:c16="http://schemas.microsoft.com/office/drawing/2014/chart" uri="{C3380CC4-5D6E-409C-BE32-E72D297353CC}">
              <c16:uniqueId val="{00000001-0A2B-4336-B868-B8C1870702DE}"/>
            </c:ext>
          </c:extLst>
        </c:ser>
        <c:ser>
          <c:idx val="2"/>
          <c:order val="2"/>
          <c:tx>
            <c:strRef>
              <c:f>Φύλλο1!$D$1</c:f>
              <c:strCache>
                <c:ptCount val="1"/>
                <c:pt idx="0">
                  <c:v>Χωρίς μεταβολή</c:v>
                </c:pt>
              </c:strCache>
            </c:strRef>
          </c:tx>
          <c:spPr>
            <a:solidFill>
              <a:schemeClr val="accent1">
                <a:lumMod val="75000"/>
              </a:schemeClr>
            </a:solidFill>
          </c:spPr>
          <c:invertIfNegative val="0"/>
          <c:dLbls>
            <c:spPr>
              <a:noFill/>
              <a:ln>
                <a:noFill/>
              </a:ln>
              <a:effectLst/>
            </c:spPr>
            <c:txPr>
              <a:bodyPr/>
              <a:lstStyle/>
              <a:p>
                <a:pPr algn="ctr">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Φύλλο1!$A$2:$A$6</c:f>
              <c:strCache>
                <c:ptCount val="5"/>
                <c:pt idx="0">
                  <c:v>ΖΗΤΗΣΗ</c:v>
                </c:pt>
                <c:pt idx="1">
                  <c:v>ΡΕΥΣΤΟΤΗΤΑ</c:v>
                </c:pt>
                <c:pt idx="2">
                  <c:v>ΚΥΚΛΟΣ ΕΡΓΑΣΙΩΝ</c:v>
                </c:pt>
                <c:pt idx="3">
                  <c:v>ΠΑΡΑΓΓΕΛΙΕΣ</c:v>
                </c:pt>
                <c:pt idx="4">
                  <c:v>ΑΠΑΣΧΟΛΗΣΗ</c:v>
                </c:pt>
              </c:strCache>
            </c:strRef>
          </c:cat>
          <c:val>
            <c:numRef>
              <c:f>Φύλλο1!$D$2:$D$6</c:f>
              <c:numCache>
                <c:formatCode>General</c:formatCode>
                <c:ptCount val="5"/>
                <c:pt idx="0">
                  <c:v>26.3</c:v>
                </c:pt>
                <c:pt idx="1">
                  <c:v>24.6</c:v>
                </c:pt>
                <c:pt idx="2">
                  <c:v>26.8</c:v>
                </c:pt>
                <c:pt idx="3">
                  <c:v>27.1</c:v>
                </c:pt>
                <c:pt idx="4">
                  <c:v>86.1</c:v>
                </c:pt>
              </c:numCache>
            </c:numRef>
          </c:val>
          <c:extLst>
            <c:ext xmlns:c16="http://schemas.microsoft.com/office/drawing/2014/chart" uri="{C3380CC4-5D6E-409C-BE32-E72D297353CC}">
              <c16:uniqueId val="{00000002-0A2B-4336-B868-B8C1870702DE}"/>
            </c:ext>
          </c:extLst>
        </c:ser>
        <c:ser>
          <c:idx val="3"/>
          <c:order val="3"/>
          <c:tx>
            <c:strRef>
              <c:f>Φύλλο1!$E$1</c:f>
              <c:strCache>
                <c:ptCount val="1"/>
                <c:pt idx="0">
                  <c:v>ΔΑ</c:v>
                </c:pt>
              </c:strCache>
            </c:strRef>
          </c:tx>
          <c:spPr>
            <a:solidFill>
              <a:schemeClr val="tx1">
                <a:lumMod val="50000"/>
                <a:lumOff val="50000"/>
              </a:schemeClr>
            </a:solidFill>
          </c:spPr>
          <c:invertIfNegative val="0"/>
          <c:dLbls>
            <c:spPr>
              <a:noFill/>
              <a:ln>
                <a:noFill/>
              </a:ln>
              <a:effectLst/>
            </c:spPr>
            <c:txPr>
              <a:bodyPr/>
              <a:lstStyle/>
              <a:p>
                <a:pPr algn="ctr">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Φύλλο1!$A$2:$A$6</c:f>
              <c:strCache>
                <c:ptCount val="5"/>
                <c:pt idx="0">
                  <c:v>ΖΗΤΗΣΗ</c:v>
                </c:pt>
                <c:pt idx="1">
                  <c:v>ΡΕΥΣΤΟΤΗΤΑ</c:v>
                </c:pt>
                <c:pt idx="2">
                  <c:v>ΚΥΚΛΟΣ ΕΡΓΑΣΙΩΝ</c:v>
                </c:pt>
                <c:pt idx="3">
                  <c:v>ΠΑΡΑΓΓΕΛΙΕΣ</c:v>
                </c:pt>
                <c:pt idx="4">
                  <c:v>ΑΠΑΣΧΟΛΗΣΗ</c:v>
                </c:pt>
              </c:strCache>
            </c:strRef>
          </c:cat>
          <c:val>
            <c:numRef>
              <c:f>Φύλλο1!$E$2:$E$6</c:f>
              <c:numCache>
                <c:formatCode>General</c:formatCode>
                <c:ptCount val="5"/>
                <c:pt idx="0">
                  <c:v>5.3</c:v>
                </c:pt>
                <c:pt idx="1">
                  <c:v>5.6</c:v>
                </c:pt>
                <c:pt idx="2">
                  <c:v>6.5</c:v>
                </c:pt>
                <c:pt idx="3">
                  <c:v>5.9</c:v>
                </c:pt>
                <c:pt idx="4">
                  <c:v>3.1</c:v>
                </c:pt>
              </c:numCache>
            </c:numRef>
          </c:val>
          <c:extLst>
            <c:ext xmlns:c16="http://schemas.microsoft.com/office/drawing/2014/chart" uri="{C3380CC4-5D6E-409C-BE32-E72D297353CC}">
              <c16:uniqueId val="{00000003-0A2B-4336-B868-B8C1870702DE}"/>
            </c:ext>
          </c:extLst>
        </c:ser>
        <c:dLbls>
          <c:showLegendKey val="0"/>
          <c:showVal val="0"/>
          <c:showCatName val="0"/>
          <c:showSerName val="0"/>
          <c:showPercent val="0"/>
          <c:showBubbleSize val="0"/>
        </c:dLbls>
        <c:gapWidth val="50"/>
        <c:overlap val="100"/>
        <c:axId val="351748480"/>
        <c:axId val="351750016"/>
      </c:barChart>
      <c:catAx>
        <c:axId val="351748480"/>
        <c:scaling>
          <c:orientation val="maxMin"/>
        </c:scaling>
        <c:delete val="0"/>
        <c:axPos val="l"/>
        <c:numFmt formatCode="General" sourceLinked="0"/>
        <c:majorTickMark val="out"/>
        <c:minorTickMark val="none"/>
        <c:tickLblPos val="nextTo"/>
        <c:crossAx val="351750016"/>
        <c:crosses val="autoZero"/>
        <c:auto val="1"/>
        <c:lblAlgn val="ctr"/>
        <c:lblOffset val="100"/>
        <c:noMultiLvlLbl val="0"/>
      </c:catAx>
      <c:valAx>
        <c:axId val="351750016"/>
        <c:scaling>
          <c:orientation val="minMax"/>
        </c:scaling>
        <c:delete val="0"/>
        <c:axPos val="b"/>
        <c:majorGridlines/>
        <c:numFmt formatCode="0%" sourceLinked="1"/>
        <c:majorTickMark val="out"/>
        <c:minorTickMark val="none"/>
        <c:tickLblPos val="nextTo"/>
        <c:crossAx val="351748480"/>
        <c:crosses val="max"/>
        <c:crossBetween val="between"/>
      </c:valAx>
    </c:plotArea>
    <c:legend>
      <c:legendPos val="r"/>
      <c:layout>
        <c:manualLayout>
          <c:xMode val="edge"/>
          <c:yMode val="edge"/>
          <c:x val="0.21509572835722818"/>
          <c:y val="4.4615202687916827E-2"/>
          <c:w val="0.71535366682648605"/>
          <c:h val="4.2934418698222704E-2"/>
        </c:manualLayout>
      </c:layout>
      <c:overlay val="0"/>
    </c:legend>
    <c:plotVisOnly val="1"/>
    <c:dispBlanksAs val="gap"/>
    <c:showDLblsOverMax val="0"/>
  </c:chart>
  <c:txPr>
    <a:bodyPr/>
    <a:lstStyle/>
    <a:p>
      <a:pPr>
        <a:defRPr sz="900">
          <a:latin typeface="Microsoft JhengHei UI" panose="020B0604030504040204" pitchFamily="34" charset="-120"/>
          <a:ea typeface="Microsoft JhengHei UI" panose="020B0604030504040204" pitchFamily="34" charset="-120"/>
        </a:defRPr>
      </a:pPr>
      <a:endParaRPr lang="el-GR"/>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3.7200059206671986E-2"/>
          <c:y val="7.7041647848881747E-2"/>
          <c:w val="0.9540362492504284"/>
          <c:h val="0.77700237594988908"/>
        </c:manualLayout>
      </c:layout>
      <c:bar3DChart>
        <c:barDir val="col"/>
        <c:grouping val="standard"/>
        <c:varyColors val="0"/>
        <c:ser>
          <c:idx val="0"/>
          <c:order val="0"/>
          <c:tx>
            <c:strRef>
              <c:f>Sheet1!$B$1</c:f>
              <c:strCache>
                <c:ptCount val="1"/>
                <c:pt idx="0">
                  <c:v>Φεβρουάριος 2021</c:v>
                </c:pt>
              </c:strCache>
            </c:strRef>
          </c:tx>
          <c:spPr>
            <a:solidFill>
              <a:schemeClr val="accent1"/>
            </a:solidFill>
            <a:ln>
              <a:noFill/>
            </a:ln>
            <a:effectLst/>
            <a:sp3d/>
          </c:spPr>
          <c:invertIfNegative val="0"/>
          <c:dLbls>
            <c:dLbl>
              <c:idx val="0"/>
              <c:layout>
                <c:manualLayout>
                  <c:x val="-1.0041613891325292E-17"/>
                  <c:y val="-3.0064590613510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5BE-492D-ACAB-39A7CCF3F0CD}"/>
                </c:ext>
              </c:extLst>
            </c:dLbl>
            <c:dLbl>
              <c:idx val="1"/>
              <c:layout>
                <c:manualLayout>
                  <c:x val="-2.1909228857249123E-3"/>
                  <c:y val="-2.7751929797086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BE-492D-ACAB-39A7CCF3F0CD}"/>
                </c:ext>
              </c:extLst>
            </c:dLbl>
            <c:dLbl>
              <c:idx val="2"/>
              <c:layout>
                <c:manualLayout>
                  <c:x val="0"/>
                  <c:y val="-3.2377251429934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BE-492D-ACAB-39A7CCF3F0CD}"/>
                </c:ext>
              </c:extLst>
            </c:dLbl>
            <c:dLbl>
              <c:idx val="3"/>
              <c:layout>
                <c:manualLayout>
                  <c:x val="7.6682301000371936E-3"/>
                  <c:y val="-2.0813947347815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BE-492D-ACAB-39A7CCF3F0CD}"/>
                </c:ext>
              </c:extLst>
            </c:dLbl>
            <c:dLbl>
              <c:idx val="4"/>
              <c:layout>
                <c:manualLayout>
                  <c:x val="4.3818457714498247E-3"/>
                  <c:y val="-2.54392689806628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5BE-492D-ACAB-39A7CCF3F0CD}"/>
                </c:ext>
              </c:extLst>
            </c:dLbl>
            <c:dLbl>
              <c:idx val="5"/>
              <c:layout>
                <c:manualLayout>
                  <c:x val="1.0954614428623759E-3"/>
                  <c:y val="-1.85012865313911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5BE-492D-ACAB-39A7CCF3F0CD}"/>
                </c:ext>
              </c:extLst>
            </c:dLbl>
            <c:dLbl>
              <c:idx val="6"/>
              <c:layout>
                <c:manualLayout>
                  <c:x val="-1.0954614428626169E-3"/>
                  <c:y val="-1.61886257149672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5BE-492D-ACAB-39A7CCF3F0CD}"/>
                </c:ext>
              </c:extLst>
            </c:dLbl>
            <c:dLbl>
              <c:idx val="7"/>
              <c:layout>
                <c:manualLayout>
                  <c:x val="0"/>
                  <c:y val="-2.312660816423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5BE-492D-ACAB-39A7CCF3F0C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icrosoft JhengHei UI" panose="020B0604030504040204" pitchFamily="34" charset="-120"/>
                    <a:ea typeface="Microsoft JhengHei UI" panose="020B0604030504040204" pitchFamily="34" charset="-120"/>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Στον πρώην ΟΑΕΕ </c:v>
                </c:pt>
                <c:pt idx="1">
                  <c:v>Στην εφορία </c:v>
                </c:pt>
                <c:pt idx="2">
                  <c:v>Σε προμηθευτές</c:v>
                </c:pt>
                <c:pt idx="3">
                  <c:v>Στις τράπεζες/ δάνεια*</c:v>
                </c:pt>
                <c:pt idx="4">
                  <c:v>Σε λογαριασμούς ενέργειες </c:v>
                </c:pt>
                <c:pt idx="5">
                  <c:v>Σε λοιπούς λογαριασμούς </c:v>
                </c:pt>
                <c:pt idx="6">
                  <c:v>Για ενοίκιο*</c:v>
                </c:pt>
                <c:pt idx="7">
                  <c:v>Στο πρώην ΙΚΑ*</c:v>
                </c:pt>
              </c:strCache>
            </c:strRef>
          </c:cat>
          <c:val>
            <c:numRef>
              <c:f>Sheet1!$B$2:$B$9</c:f>
              <c:numCache>
                <c:formatCode>General</c:formatCode>
                <c:ptCount val="8"/>
                <c:pt idx="0">
                  <c:v>26.3</c:v>
                </c:pt>
                <c:pt idx="1">
                  <c:v>23.8</c:v>
                </c:pt>
                <c:pt idx="2">
                  <c:v>22.6</c:v>
                </c:pt>
                <c:pt idx="3">
                  <c:v>32.9</c:v>
                </c:pt>
                <c:pt idx="4">
                  <c:v>20.5</c:v>
                </c:pt>
                <c:pt idx="5">
                  <c:v>16.600000000000001</c:v>
                </c:pt>
                <c:pt idx="6">
                  <c:v>23</c:v>
                </c:pt>
                <c:pt idx="7">
                  <c:v>14.9</c:v>
                </c:pt>
              </c:numCache>
            </c:numRef>
          </c:val>
          <c:extLst>
            <c:ext xmlns:c16="http://schemas.microsoft.com/office/drawing/2014/chart" uri="{C3380CC4-5D6E-409C-BE32-E72D297353CC}">
              <c16:uniqueId val="{00000008-85BE-492D-ACAB-39A7CCF3F0CD}"/>
            </c:ext>
          </c:extLst>
        </c:ser>
        <c:ser>
          <c:idx val="1"/>
          <c:order val="1"/>
          <c:tx>
            <c:strRef>
              <c:f>Sheet1!$C$1</c:f>
              <c:strCache>
                <c:ptCount val="1"/>
                <c:pt idx="0">
                  <c:v>Ιούλιος 2020</c:v>
                </c:pt>
              </c:strCache>
            </c:strRef>
          </c:tx>
          <c:spPr>
            <a:solidFill>
              <a:schemeClr val="bg1">
                <a:lumMod val="75000"/>
              </a:schemeClr>
            </a:solidFill>
            <a:ln>
              <a:noFill/>
            </a:ln>
            <a:effectLst/>
            <a:sp3d/>
          </c:spPr>
          <c:invertIfNegative val="0"/>
          <c:dLbls>
            <c:dLbl>
              <c:idx val="0"/>
              <c:layout>
                <c:manualLayout>
                  <c:x val="1.8622844528661756E-2"/>
                  <c:y val="-2.312660816423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5BE-492D-ACAB-39A7CCF3F0CD}"/>
                </c:ext>
              </c:extLst>
            </c:dLbl>
            <c:dLbl>
              <c:idx val="1"/>
              <c:layout>
                <c:manualLayout>
                  <c:x val="6.5727686571747379E-3"/>
                  <c:y val="-2.312660816423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5BE-492D-ACAB-39A7CCF3F0CD}"/>
                </c:ext>
              </c:extLst>
            </c:dLbl>
            <c:dLbl>
              <c:idx val="2"/>
              <c:layout>
                <c:manualLayout>
                  <c:x val="1.0954614428624563E-2"/>
                  <c:y val="-1.61886257149673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5BE-492D-ACAB-39A7CCF3F0CD}"/>
                </c:ext>
              </c:extLst>
            </c:dLbl>
            <c:dLbl>
              <c:idx val="3"/>
              <c:layout>
                <c:manualLayout>
                  <c:x val="1.4240998757211932E-2"/>
                  <c:y val="-2.31266081642389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5BE-492D-ACAB-39A7CCF3F0CD}"/>
                </c:ext>
              </c:extLst>
            </c:dLbl>
            <c:dLbl>
              <c:idx val="4"/>
              <c:layout>
                <c:manualLayout>
                  <c:x val="8.7636915428996494E-3"/>
                  <c:y val="-2.54392689806628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5BE-492D-ACAB-39A7CCF3F0CD}"/>
                </c:ext>
              </c:extLst>
            </c:dLbl>
            <c:dLbl>
              <c:idx val="5"/>
              <c:layout>
                <c:manualLayout>
                  <c:x val="6.5727686571748177E-3"/>
                  <c:y val="-1.85012865313911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5BE-492D-ACAB-39A7CCF3F0CD}"/>
                </c:ext>
              </c:extLst>
            </c:dLbl>
            <c:dLbl>
              <c:idx val="6"/>
              <c:layout>
                <c:manualLayout>
                  <c:x val="9.8591529857621069E-3"/>
                  <c:y val="-2.0813947347815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5BE-492D-ACAB-39A7CCF3F0CD}"/>
                </c:ext>
              </c:extLst>
            </c:dLbl>
            <c:dLbl>
              <c:idx val="7"/>
              <c:layout>
                <c:manualLayout>
                  <c:x val="5.4773072143122813E-3"/>
                  <c:y val="-2.0813947347815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5BE-492D-ACAB-39A7CCF3F0C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icrosoft JhengHei UI" panose="020B0604030504040204" pitchFamily="34" charset="-120"/>
                    <a:ea typeface="Microsoft JhengHei UI" panose="020B0604030504040204" pitchFamily="34" charset="-120"/>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Στον πρώην ΟΑΕΕ </c:v>
                </c:pt>
                <c:pt idx="1">
                  <c:v>Στην εφορία </c:v>
                </c:pt>
                <c:pt idx="2">
                  <c:v>Σε προμηθευτές</c:v>
                </c:pt>
                <c:pt idx="3">
                  <c:v>Στις τράπεζες/ δάνεια*</c:v>
                </c:pt>
                <c:pt idx="4">
                  <c:v>Σε λογαριασμούς ενέργειες </c:v>
                </c:pt>
                <c:pt idx="5">
                  <c:v>Σε λοιπούς λογαριασμούς </c:v>
                </c:pt>
                <c:pt idx="6">
                  <c:v>Για ενοίκιο*</c:v>
                </c:pt>
                <c:pt idx="7">
                  <c:v>Στο πρώην ΙΚΑ*</c:v>
                </c:pt>
              </c:strCache>
            </c:strRef>
          </c:cat>
          <c:val>
            <c:numRef>
              <c:f>Sheet1!$C$2:$C$9</c:f>
              <c:numCache>
                <c:formatCode>General</c:formatCode>
                <c:ptCount val="8"/>
                <c:pt idx="0">
                  <c:v>25.3</c:v>
                </c:pt>
                <c:pt idx="1">
                  <c:v>25.4</c:v>
                </c:pt>
                <c:pt idx="2">
                  <c:v>26.7</c:v>
                </c:pt>
                <c:pt idx="3">
                  <c:v>29.2</c:v>
                </c:pt>
                <c:pt idx="4">
                  <c:v>23.5</c:v>
                </c:pt>
                <c:pt idx="5">
                  <c:v>19.600000000000001</c:v>
                </c:pt>
                <c:pt idx="6">
                  <c:v>30</c:v>
                </c:pt>
                <c:pt idx="7">
                  <c:v>18.600000000000001</c:v>
                </c:pt>
              </c:numCache>
            </c:numRef>
          </c:val>
          <c:extLst>
            <c:ext xmlns:c16="http://schemas.microsoft.com/office/drawing/2014/chart" uri="{C3380CC4-5D6E-409C-BE32-E72D297353CC}">
              <c16:uniqueId val="{00000011-85BE-492D-ACAB-39A7CCF3F0CD}"/>
            </c:ext>
          </c:extLst>
        </c:ser>
        <c:dLbls>
          <c:showLegendKey val="0"/>
          <c:showVal val="1"/>
          <c:showCatName val="0"/>
          <c:showSerName val="0"/>
          <c:showPercent val="0"/>
          <c:showBubbleSize val="0"/>
        </c:dLbls>
        <c:gapWidth val="150"/>
        <c:shape val="box"/>
        <c:axId val="351808512"/>
        <c:axId val="351826688"/>
        <c:axId val="351738496"/>
      </c:bar3DChart>
      <c:catAx>
        <c:axId val="351808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solidFill>
                <a:latin typeface="Microsoft JhengHei UI" panose="020B0604030504040204" pitchFamily="34" charset="-120"/>
                <a:ea typeface="Microsoft JhengHei UI" panose="020B0604030504040204" pitchFamily="34" charset="-120"/>
                <a:cs typeface="+mn-cs"/>
              </a:defRPr>
            </a:pPr>
            <a:endParaRPr lang="el-GR"/>
          </a:p>
        </c:txPr>
        <c:crossAx val="351826688"/>
        <c:crosses val="autoZero"/>
        <c:auto val="1"/>
        <c:lblAlgn val="ctr"/>
        <c:lblOffset val="100"/>
        <c:noMultiLvlLbl val="0"/>
      </c:catAx>
      <c:valAx>
        <c:axId val="351826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icrosoft JhengHei UI" panose="020B0604030504040204" pitchFamily="34" charset="-120"/>
                <a:ea typeface="Microsoft JhengHei UI" panose="020B0604030504040204" pitchFamily="34" charset="-120"/>
                <a:cs typeface="+mn-cs"/>
              </a:defRPr>
            </a:pPr>
            <a:endParaRPr lang="el-GR"/>
          </a:p>
        </c:txPr>
        <c:crossAx val="351808512"/>
        <c:crosses val="autoZero"/>
        <c:crossBetween val="between"/>
      </c:valAx>
      <c:serAx>
        <c:axId val="351738496"/>
        <c:scaling>
          <c:orientation val="minMax"/>
        </c:scaling>
        <c:delete val="1"/>
        <c:axPos val="b"/>
        <c:majorTickMark val="none"/>
        <c:minorTickMark val="none"/>
        <c:tickLblPos val="nextTo"/>
        <c:crossAx val="351826688"/>
        <c:crosses val="autoZero"/>
      </c:serAx>
      <c:spPr>
        <a:noFill/>
        <a:ln>
          <a:noFill/>
        </a:ln>
        <a:effectLst/>
      </c:spPr>
    </c:plotArea>
    <c:legend>
      <c:legendPos val="b"/>
      <c:layout>
        <c:manualLayout>
          <c:xMode val="edge"/>
          <c:yMode val="edge"/>
          <c:x val="0.20034347996798044"/>
          <c:y val="2.9767377609010628E-2"/>
          <c:w val="0.55511415344438741"/>
          <c:h val="7.7194480989128234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icrosoft JhengHei UI" panose="020B0604030504040204" pitchFamily="34" charset="-120"/>
              <a:ea typeface="Microsoft JhengHei UI" panose="020B0604030504040204" pitchFamily="34" charset="-120"/>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Microsoft JhengHei UI" panose="020B0604030504040204" pitchFamily="34" charset="-120"/>
          <a:ea typeface="Microsoft JhengHei UI" panose="020B0604030504040204" pitchFamily="34" charset="-120"/>
        </a:defRPr>
      </a:pPr>
      <a:endParaRPr lang="el-GR"/>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3.7200059206671986E-2"/>
          <c:y val="7.7041647848881747E-2"/>
          <c:w val="0.9540362492504284"/>
          <c:h val="0.77700237594988908"/>
        </c:manualLayout>
      </c:layout>
      <c:bar3DChart>
        <c:barDir val="col"/>
        <c:grouping val="standard"/>
        <c:varyColors val="0"/>
        <c:ser>
          <c:idx val="0"/>
          <c:order val="0"/>
          <c:tx>
            <c:strRef>
              <c:f>Sheet1!$B$1</c:f>
              <c:strCache>
                <c:ptCount val="1"/>
                <c:pt idx="0">
                  <c:v>Φεβρουάριος 2021</c:v>
                </c:pt>
              </c:strCache>
            </c:strRef>
          </c:tx>
          <c:spPr>
            <a:solidFill>
              <a:schemeClr val="accent1"/>
            </a:solidFill>
            <a:ln>
              <a:noFill/>
            </a:ln>
            <a:effectLst/>
            <a:sp3d/>
          </c:spPr>
          <c:invertIfNegative val="0"/>
          <c:dLbls>
            <c:dLbl>
              <c:idx val="0"/>
              <c:layout>
                <c:manualLayout>
                  <c:x val="-1.0041613891325292E-17"/>
                  <c:y val="-3.0064590613510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18-4B9D-8D1A-30706378BCA2}"/>
                </c:ext>
              </c:extLst>
            </c:dLbl>
            <c:dLbl>
              <c:idx val="1"/>
              <c:layout>
                <c:manualLayout>
                  <c:x val="-2.1909228857249123E-3"/>
                  <c:y val="-2.7751929797086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18-4B9D-8D1A-30706378BCA2}"/>
                </c:ext>
              </c:extLst>
            </c:dLbl>
            <c:dLbl>
              <c:idx val="2"/>
              <c:layout>
                <c:manualLayout>
                  <c:x val="0"/>
                  <c:y val="-3.2377251429934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C18-4B9D-8D1A-30706378BCA2}"/>
                </c:ext>
              </c:extLst>
            </c:dLbl>
            <c:dLbl>
              <c:idx val="3"/>
              <c:layout>
                <c:manualLayout>
                  <c:x val="7.6682301000371936E-3"/>
                  <c:y val="-2.0813947347815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18-4B9D-8D1A-30706378BCA2}"/>
                </c:ext>
              </c:extLst>
            </c:dLbl>
            <c:dLbl>
              <c:idx val="4"/>
              <c:layout>
                <c:manualLayout>
                  <c:x val="4.3818457714498247E-3"/>
                  <c:y val="-2.54392689806628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C18-4B9D-8D1A-30706378BCA2}"/>
                </c:ext>
              </c:extLst>
            </c:dLbl>
            <c:dLbl>
              <c:idx val="5"/>
              <c:layout>
                <c:manualLayout>
                  <c:x val="1.0954614428623759E-3"/>
                  <c:y val="-1.85012865313911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C18-4B9D-8D1A-30706378BCA2}"/>
                </c:ext>
              </c:extLst>
            </c:dLbl>
            <c:dLbl>
              <c:idx val="6"/>
              <c:layout>
                <c:manualLayout>
                  <c:x val="-1.0954614428626169E-3"/>
                  <c:y val="-1.61886257149672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C18-4B9D-8D1A-30706378BCA2}"/>
                </c:ext>
              </c:extLst>
            </c:dLbl>
            <c:dLbl>
              <c:idx val="7"/>
              <c:layout>
                <c:manualLayout>
                  <c:x val="0"/>
                  <c:y val="-2.312660816423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C18-4B9D-8D1A-30706378BCA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icrosoft JhengHei UI" panose="020B0604030504040204" pitchFamily="34" charset="-120"/>
                    <a:ea typeface="Microsoft JhengHei UI" panose="020B0604030504040204" pitchFamily="34" charset="-120"/>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Στον πρώην ΟΑΕΕ </c:v>
                </c:pt>
                <c:pt idx="1">
                  <c:v>Στην εφορία </c:v>
                </c:pt>
                <c:pt idx="2">
                  <c:v>Σε προμηθευτές</c:v>
                </c:pt>
                <c:pt idx="3">
                  <c:v>Στις τράπεζες/ δάνεια*</c:v>
                </c:pt>
                <c:pt idx="4">
                  <c:v>Σε λογαριασμούς ενέργειες </c:v>
                </c:pt>
                <c:pt idx="5">
                  <c:v>Σε λοιπούς λογαριασμούς </c:v>
                </c:pt>
                <c:pt idx="6">
                  <c:v>Για ενοίκιο*</c:v>
                </c:pt>
                <c:pt idx="7">
                  <c:v>Στο πρώην ΙΚΑ*</c:v>
                </c:pt>
              </c:strCache>
            </c:strRef>
          </c:cat>
          <c:val>
            <c:numRef>
              <c:f>Sheet1!$B$2:$B$9</c:f>
              <c:numCache>
                <c:formatCode>General</c:formatCode>
                <c:ptCount val="8"/>
                <c:pt idx="0">
                  <c:v>31.3</c:v>
                </c:pt>
                <c:pt idx="1">
                  <c:v>30.1</c:v>
                </c:pt>
                <c:pt idx="2">
                  <c:v>26.6</c:v>
                </c:pt>
                <c:pt idx="3">
                  <c:v>44.6</c:v>
                </c:pt>
                <c:pt idx="4">
                  <c:v>26.3</c:v>
                </c:pt>
                <c:pt idx="5">
                  <c:v>25.1</c:v>
                </c:pt>
                <c:pt idx="6">
                  <c:v>35.200000000000003</c:v>
                </c:pt>
                <c:pt idx="7">
                  <c:v>24.2</c:v>
                </c:pt>
              </c:numCache>
            </c:numRef>
          </c:val>
          <c:extLst>
            <c:ext xmlns:c16="http://schemas.microsoft.com/office/drawing/2014/chart" uri="{C3380CC4-5D6E-409C-BE32-E72D297353CC}">
              <c16:uniqueId val="{00000008-4C18-4B9D-8D1A-30706378BCA2}"/>
            </c:ext>
          </c:extLst>
        </c:ser>
        <c:ser>
          <c:idx val="1"/>
          <c:order val="1"/>
          <c:tx>
            <c:strRef>
              <c:f>Sheet1!$C$1</c:f>
              <c:strCache>
                <c:ptCount val="1"/>
                <c:pt idx="0">
                  <c:v>Ιούλιος 2020</c:v>
                </c:pt>
              </c:strCache>
            </c:strRef>
          </c:tx>
          <c:spPr>
            <a:solidFill>
              <a:schemeClr val="bg1">
                <a:lumMod val="75000"/>
              </a:schemeClr>
            </a:solidFill>
            <a:ln>
              <a:noFill/>
            </a:ln>
            <a:effectLst/>
            <a:sp3d/>
          </c:spPr>
          <c:invertIfNegative val="0"/>
          <c:dLbls>
            <c:dLbl>
              <c:idx val="0"/>
              <c:layout>
                <c:manualLayout>
                  <c:x val="1.8622844528661756E-2"/>
                  <c:y val="-2.312660816423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C18-4B9D-8D1A-30706378BCA2}"/>
                </c:ext>
              </c:extLst>
            </c:dLbl>
            <c:dLbl>
              <c:idx val="1"/>
              <c:layout>
                <c:manualLayout>
                  <c:x val="6.5727686571747379E-3"/>
                  <c:y val="-2.312660816423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C18-4B9D-8D1A-30706378BCA2}"/>
                </c:ext>
              </c:extLst>
            </c:dLbl>
            <c:dLbl>
              <c:idx val="2"/>
              <c:layout>
                <c:manualLayout>
                  <c:x val="1.0954614428624563E-2"/>
                  <c:y val="-1.61886257149673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C18-4B9D-8D1A-30706378BCA2}"/>
                </c:ext>
              </c:extLst>
            </c:dLbl>
            <c:dLbl>
              <c:idx val="3"/>
              <c:layout>
                <c:manualLayout>
                  <c:x val="1.4240998757211932E-2"/>
                  <c:y val="-2.31266081642389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C18-4B9D-8D1A-30706378BCA2}"/>
                </c:ext>
              </c:extLst>
            </c:dLbl>
            <c:dLbl>
              <c:idx val="4"/>
              <c:layout>
                <c:manualLayout>
                  <c:x val="8.7636915428996494E-3"/>
                  <c:y val="-2.54392689806628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C18-4B9D-8D1A-30706378BCA2}"/>
                </c:ext>
              </c:extLst>
            </c:dLbl>
            <c:dLbl>
              <c:idx val="5"/>
              <c:layout>
                <c:manualLayout>
                  <c:x val="6.5727686571748177E-3"/>
                  <c:y val="-1.85012865313911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C18-4B9D-8D1A-30706378BCA2}"/>
                </c:ext>
              </c:extLst>
            </c:dLbl>
            <c:dLbl>
              <c:idx val="6"/>
              <c:layout>
                <c:manualLayout>
                  <c:x val="9.8591529857621069E-3"/>
                  <c:y val="-2.0813947347815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C18-4B9D-8D1A-30706378BCA2}"/>
                </c:ext>
              </c:extLst>
            </c:dLbl>
            <c:dLbl>
              <c:idx val="7"/>
              <c:layout>
                <c:manualLayout>
                  <c:x val="5.4773072143122813E-3"/>
                  <c:y val="-2.0813947347815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C18-4B9D-8D1A-30706378BC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icrosoft JhengHei UI" panose="020B0604030504040204" pitchFamily="34" charset="-120"/>
                    <a:ea typeface="Microsoft JhengHei UI" panose="020B0604030504040204" pitchFamily="34" charset="-120"/>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Στον πρώην ΟΑΕΕ </c:v>
                </c:pt>
                <c:pt idx="1">
                  <c:v>Στην εφορία </c:v>
                </c:pt>
                <c:pt idx="2">
                  <c:v>Σε προμηθευτές</c:v>
                </c:pt>
                <c:pt idx="3">
                  <c:v>Στις τράπεζες/ δάνεια*</c:v>
                </c:pt>
                <c:pt idx="4">
                  <c:v>Σε λογαριασμούς ενέργειες </c:v>
                </c:pt>
                <c:pt idx="5">
                  <c:v>Σε λοιπούς λογαριασμούς </c:v>
                </c:pt>
                <c:pt idx="6">
                  <c:v>Για ενοίκιο*</c:v>
                </c:pt>
                <c:pt idx="7">
                  <c:v>Στο πρώην ΙΚΑ*</c:v>
                </c:pt>
              </c:strCache>
            </c:strRef>
          </c:cat>
          <c:val>
            <c:numRef>
              <c:f>Sheet1!$C$2:$C$9</c:f>
              <c:numCache>
                <c:formatCode>General</c:formatCode>
                <c:ptCount val="8"/>
                <c:pt idx="0">
                  <c:v>21.9</c:v>
                </c:pt>
                <c:pt idx="1">
                  <c:v>22.2</c:v>
                </c:pt>
                <c:pt idx="2">
                  <c:v>19.899999999999999</c:v>
                </c:pt>
                <c:pt idx="3">
                  <c:v>23.9</c:v>
                </c:pt>
                <c:pt idx="4">
                  <c:v>20.2</c:v>
                </c:pt>
                <c:pt idx="5">
                  <c:v>19.7</c:v>
                </c:pt>
                <c:pt idx="6">
                  <c:v>24.8</c:v>
                </c:pt>
                <c:pt idx="7">
                  <c:v>17.5</c:v>
                </c:pt>
              </c:numCache>
            </c:numRef>
          </c:val>
          <c:extLst>
            <c:ext xmlns:c16="http://schemas.microsoft.com/office/drawing/2014/chart" uri="{C3380CC4-5D6E-409C-BE32-E72D297353CC}">
              <c16:uniqueId val="{00000011-4C18-4B9D-8D1A-30706378BCA2}"/>
            </c:ext>
          </c:extLst>
        </c:ser>
        <c:dLbls>
          <c:showLegendKey val="0"/>
          <c:showVal val="1"/>
          <c:showCatName val="0"/>
          <c:showSerName val="0"/>
          <c:showPercent val="0"/>
          <c:showBubbleSize val="0"/>
        </c:dLbls>
        <c:gapWidth val="150"/>
        <c:shape val="box"/>
        <c:axId val="353074176"/>
        <c:axId val="353080064"/>
        <c:axId val="353046976"/>
      </c:bar3DChart>
      <c:catAx>
        <c:axId val="353074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solidFill>
                <a:latin typeface="Microsoft JhengHei UI" panose="020B0604030504040204" pitchFamily="34" charset="-120"/>
                <a:ea typeface="Microsoft JhengHei UI" panose="020B0604030504040204" pitchFamily="34" charset="-120"/>
                <a:cs typeface="+mn-cs"/>
              </a:defRPr>
            </a:pPr>
            <a:endParaRPr lang="el-GR"/>
          </a:p>
        </c:txPr>
        <c:crossAx val="353080064"/>
        <c:crosses val="autoZero"/>
        <c:auto val="1"/>
        <c:lblAlgn val="ctr"/>
        <c:lblOffset val="100"/>
        <c:noMultiLvlLbl val="0"/>
      </c:catAx>
      <c:valAx>
        <c:axId val="35308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icrosoft JhengHei UI" panose="020B0604030504040204" pitchFamily="34" charset="-120"/>
                <a:ea typeface="Microsoft JhengHei UI" panose="020B0604030504040204" pitchFamily="34" charset="-120"/>
                <a:cs typeface="+mn-cs"/>
              </a:defRPr>
            </a:pPr>
            <a:endParaRPr lang="el-GR"/>
          </a:p>
        </c:txPr>
        <c:crossAx val="353074176"/>
        <c:crosses val="autoZero"/>
        <c:crossBetween val="between"/>
      </c:valAx>
      <c:serAx>
        <c:axId val="353046976"/>
        <c:scaling>
          <c:orientation val="minMax"/>
        </c:scaling>
        <c:delete val="1"/>
        <c:axPos val="b"/>
        <c:majorTickMark val="none"/>
        <c:minorTickMark val="none"/>
        <c:tickLblPos val="nextTo"/>
        <c:crossAx val="353080064"/>
        <c:crosses val="autoZero"/>
      </c:serAx>
      <c:spPr>
        <a:noFill/>
        <a:ln>
          <a:noFill/>
        </a:ln>
        <a:effectLst/>
      </c:spPr>
    </c:plotArea>
    <c:legend>
      <c:legendPos val="b"/>
      <c:layout>
        <c:manualLayout>
          <c:xMode val="edge"/>
          <c:yMode val="edge"/>
          <c:x val="0.20034347996798044"/>
          <c:y val="2.9767377609010628E-2"/>
          <c:w val="0.55511415344438741"/>
          <c:h val="7.7194480989128234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icrosoft JhengHei UI" panose="020B0604030504040204" pitchFamily="34" charset="-120"/>
              <a:ea typeface="Microsoft JhengHei UI" panose="020B0604030504040204" pitchFamily="34" charset="-120"/>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Microsoft JhengHei UI" panose="020B0604030504040204" pitchFamily="34" charset="-120"/>
          <a:ea typeface="Microsoft JhengHei UI" panose="020B0604030504040204" pitchFamily="34" charset="-120"/>
        </a:defRPr>
      </a:pPr>
      <a:endParaRPr lang="el-GR"/>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l-GR" sz="1000"/>
              <a:t>ΓΡΑΦΗΜΑ</a:t>
            </a:r>
            <a:r>
              <a:rPr lang="el-GR" sz="1000" baseline="0"/>
              <a:t> </a:t>
            </a:r>
            <a:r>
              <a:rPr lang="en-US" sz="1000" baseline="0"/>
              <a:t>16</a:t>
            </a:r>
            <a:endParaRPr lang="el-GR" sz="1000" baseline="0"/>
          </a:p>
          <a:p>
            <a:pPr>
              <a:defRPr sz="1200"/>
            </a:pPr>
            <a:r>
              <a:rPr lang="el-GR" sz="1000"/>
              <a:t>ΦΟΒΟΣ ΓΙΑ ΕΝΔΕΧΟΜΕΝΟ ΚΛΕΙΣΙΜΟ ΤΗΣ ΕΠΙΧΕΙΡΗΣΗΣ</a:t>
            </a:r>
          </a:p>
          <a:p>
            <a:pPr>
              <a:defRPr sz="1200"/>
            </a:pPr>
            <a:r>
              <a:rPr lang="el-GR" sz="1000"/>
              <a:t>ΣΥΓΚΡΙΤΙΚΟ ΓΡΑΦΗΜΑ ΙΟΥΛΙΟΣ 2019 – ΦΕΒΡΟΥΑΡΙΟΣ 2021</a:t>
            </a:r>
          </a:p>
        </c:rich>
      </c:tx>
      <c:layout>
        <c:manualLayout>
          <c:xMode val="edge"/>
          <c:yMode val="edge"/>
          <c:x val="0.22665680947854694"/>
          <c:y val="0"/>
        </c:manualLayout>
      </c:layout>
      <c:overlay val="0"/>
    </c:title>
    <c:autoTitleDeleted val="0"/>
    <c:plotArea>
      <c:layout>
        <c:manualLayout>
          <c:layoutTarget val="inner"/>
          <c:xMode val="edge"/>
          <c:yMode val="edge"/>
          <c:x val="3.9367181375055391E-2"/>
          <c:y val="0.1206415495531413"/>
          <c:w val="0.95138248218706201"/>
          <c:h val="0.78909664772916033"/>
        </c:manualLayout>
      </c:layout>
      <c:barChart>
        <c:barDir val="col"/>
        <c:grouping val="clustered"/>
        <c:varyColors val="0"/>
        <c:ser>
          <c:idx val="0"/>
          <c:order val="0"/>
          <c:tx>
            <c:strRef>
              <c:f>Φύλλο1!$B$1</c:f>
              <c:strCache>
                <c:ptCount val="1"/>
                <c:pt idx="0">
                  <c:v>ΦΟΒΟΣ ΓΙΑ ΕΝΔΕΧΟΜΕΝΟ ΚΛΕΙΣΙΜΟ ΤΗΣ ΕΠΙΧΕΙΡΗΣΗΣ - ΣΥΓΚΡΙΤΙΚΟ ΓΡΑΦΗΜΑ ΙΟΥΛΙΟΣ 2019 – ΙΟΥΝΙΟΣ 2020</c:v>
                </c:pt>
              </c:strCache>
            </c:strRef>
          </c:tx>
          <c:spPr>
            <a:solidFill>
              <a:schemeClr val="accent3">
                <a:lumMod val="60000"/>
                <a:lumOff val="40000"/>
              </a:schemeClr>
            </a:solidFill>
          </c:spPr>
          <c:invertIfNegative val="0"/>
          <c:dPt>
            <c:idx val="0"/>
            <c:invertIfNegative val="0"/>
            <c:bubble3D val="0"/>
            <c:spPr>
              <a:solidFill>
                <a:srgbClr val="F79747"/>
              </a:solidFill>
            </c:spPr>
            <c:extLst>
              <c:ext xmlns:c16="http://schemas.microsoft.com/office/drawing/2014/chart" uri="{C3380CC4-5D6E-409C-BE32-E72D297353CC}">
                <c16:uniqueId val="{00000012-7EA3-4FF6-B323-8EBEF1926541}"/>
              </c:ext>
            </c:extLst>
          </c:dPt>
          <c:dPt>
            <c:idx val="1"/>
            <c:invertIfNegative val="0"/>
            <c:bubble3D val="0"/>
            <c:spPr>
              <a:solidFill>
                <a:srgbClr val="A1A1A1"/>
              </a:solidFill>
            </c:spPr>
            <c:extLst>
              <c:ext xmlns:c16="http://schemas.microsoft.com/office/drawing/2014/chart" uri="{C3380CC4-5D6E-409C-BE32-E72D297353CC}">
                <c16:uniqueId val="{00000000-A5A2-4480-B2F1-527D556345EE}"/>
              </c:ext>
            </c:extLst>
          </c:dPt>
          <c:dPt>
            <c:idx val="2"/>
            <c:invertIfNegative val="0"/>
            <c:bubble3D val="0"/>
            <c:spPr>
              <a:solidFill>
                <a:srgbClr val="F79747"/>
              </a:solidFill>
            </c:spPr>
            <c:extLst>
              <c:ext xmlns:c16="http://schemas.microsoft.com/office/drawing/2014/chart" uri="{C3380CC4-5D6E-409C-BE32-E72D297353CC}">
                <c16:uniqueId val="{00000013-7EA3-4FF6-B323-8EBEF1926541}"/>
              </c:ext>
            </c:extLst>
          </c:dPt>
          <c:dPt>
            <c:idx val="3"/>
            <c:invertIfNegative val="0"/>
            <c:bubble3D val="0"/>
            <c:spPr>
              <a:solidFill>
                <a:srgbClr val="A1A1A1"/>
              </a:solidFill>
            </c:spPr>
            <c:extLst>
              <c:ext xmlns:c16="http://schemas.microsoft.com/office/drawing/2014/chart" uri="{C3380CC4-5D6E-409C-BE32-E72D297353CC}">
                <c16:uniqueId val="{00000001-A5A2-4480-B2F1-527D556345EE}"/>
              </c:ext>
            </c:extLst>
          </c:dPt>
          <c:dPt>
            <c:idx val="4"/>
            <c:invertIfNegative val="0"/>
            <c:bubble3D val="0"/>
            <c:spPr>
              <a:solidFill>
                <a:srgbClr val="F79747"/>
              </a:solidFill>
            </c:spPr>
            <c:extLst>
              <c:ext xmlns:c16="http://schemas.microsoft.com/office/drawing/2014/chart" uri="{C3380CC4-5D6E-409C-BE32-E72D297353CC}">
                <c16:uniqueId val="{00000014-7EA3-4FF6-B323-8EBEF1926541}"/>
              </c:ext>
            </c:extLst>
          </c:dPt>
          <c:dPt>
            <c:idx val="5"/>
            <c:invertIfNegative val="0"/>
            <c:bubble3D val="0"/>
            <c:spPr>
              <a:solidFill>
                <a:srgbClr val="A1A1A1"/>
              </a:solidFill>
            </c:spPr>
            <c:extLst>
              <c:ext xmlns:c16="http://schemas.microsoft.com/office/drawing/2014/chart" uri="{C3380CC4-5D6E-409C-BE32-E72D297353CC}">
                <c16:uniqueId val="{00000002-A5A2-4480-B2F1-527D556345EE}"/>
              </c:ext>
            </c:extLst>
          </c:dPt>
          <c:dPt>
            <c:idx val="6"/>
            <c:invertIfNegative val="0"/>
            <c:bubble3D val="0"/>
            <c:spPr>
              <a:solidFill>
                <a:srgbClr val="F79747"/>
              </a:solidFill>
            </c:spPr>
            <c:extLst>
              <c:ext xmlns:c16="http://schemas.microsoft.com/office/drawing/2014/chart" uri="{C3380CC4-5D6E-409C-BE32-E72D297353CC}">
                <c16:uniqueId val="{00000015-7EA3-4FF6-B323-8EBEF1926541}"/>
              </c:ext>
            </c:extLst>
          </c:dPt>
          <c:dPt>
            <c:idx val="7"/>
            <c:invertIfNegative val="0"/>
            <c:bubble3D val="0"/>
            <c:spPr>
              <a:solidFill>
                <a:srgbClr val="A1A1A1"/>
              </a:solidFill>
            </c:spPr>
            <c:extLst>
              <c:ext xmlns:c16="http://schemas.microsoft.com/office/drawing/2014/chart" uri="{C3380CC4-5D6E-409C-BE32-E72D297353CC}">
                <c16:uniqueId val="{00000003-A5A2-4480-B2F1-527D556345EE}"/>
              </c:ext>
            </c:extLst>
          </c:dPt>
          <c:dPt>
            <c:idx val="8"/>
            <c:invertIfNegative val="0"/>
            <c:bubble3D val="0"/>
            <c:spPr>
              <a:solidFill>
                <a:srgbClr val="F79747"/>
              </a:solidFill>
            </c:spPr>
            <c:extLst>
              <c:ext xmlns:c16="http://schemas.microsoft.com/office/drawing/2014/chart" uri="{C3380CC4-5D6E-409C-BE32-E72D297353CC}">
                <c16:uniqueId val="{00000016-7EA3-4FF6-B323-8EBEF1926541}"/>
              </c:ext>
            </c:extLst>
          </c:dPt>
          <c:dPt>
            <c:idx val="9"/>
            <c:invertIfNegative val="0"/>
            <c:bubble3D val="0"/>
            <c:spPr>
              <a:solidFill>
                <a:srgbClr val="A1A1A1"/>
              </a:solidFill>
            </c:spPr>
            <c:extLst>
              <c:ext xmlns:c16="http://schemas.microsoft.com/office/drawing/2014/chart" uri="{C3380CC4-5D6E-409C-BE32-E72D297353CC}">
                <c16:uniqueId val="{00000004-A5A2-4480-B2F1-527D556345EE}"/>
              </c:ext>
            </c:extLst>
          </c:dPt>
          <c:dPt>
            <c:idx val="10"/>
            <c:invertIfNegative val="0"/>
            <c:bubble3D val="0"/>
            <c:spPr>
              <a:solidFill>
                <a:srgbClr val="F79747"/>
              </a:solidFill>
            </c:spPr>
            <c:extLst>
              <c:ext xmlns:c16="http://schemas.microsoft.com/office/drawing/2014/chart" uri="{C3380CC4-5D6E-409C-BE32-E72D297353CC}">
                <c16:uniqueId val="{00000017-7EA3-4FF6-B323-8EBEF1926541}"/>
              </c:ext>
            </c:extLst>
          </c:dPt>
          <c:dPt>
            <c:idx val="11"/>
            <c:invertIfNegative val="0"/>
            <c:bubble3D val="0"/>
            <c:spPr>
              <a:solidFill>
                <a:srgbClr val="A1A1A1"/>
              </a:solidFill>
            </c:spPr>
            <c:extLst>
              <c:ext xmlns:c16="http://schemas.microsoft.com/office/drawing/2014/chart" uri="{C3380CC4-5D6E-409C-BE32-E72D297353CC}">
                <c16:uniqueId val="{00000005-A5A2-4480-B2F1-527D556345EE}"/>
              </c:ext>
            </c:extLst>
          </c:dPt>
          <c:dPt>
            <c:idx val="12"/>
            <c:invertIfNegative val="0"/>
            <c:bubble3D val="0"/>
            <c:spPr>
              <a:solidFill>
                <a:srgbClr val="F79747"/>
              </a:solidFill>
            </c:spPr>
            <c:extLst>
              <c:ext xmlns:c16="http://schemas.microsoft.com/office/drawing/2014/chart" uri="{C3380CC4-5D6E-409C-BE32-E72D297353CC}">
                <c16:uniqueId val="{00000018-7EA3-4FF6-B323-8EBEF1926541}"/>
              </c:ext>
            </c:extLst>
          </c:dPt>
          <c:dPt>
            <c:idx val="13"/>
            <c:invertIfNegative val="0"/>
            <c:bubble3D val="0"/>
            <c:spPr>
              <a:solidFill>
                <a:srgbClr val="A1A1A1"/>
              </a:solidFill>
            </c:spPr>
            <c:extLst>
              <c:ext xmlns:c16="http://schemas.microsoft.com/office/drawing/2014/chart" uri="{C3380CC4-5D6E-409C-BE32-E72D297353CC}">
                <c16:uniqueId val="{00000006-A5A2-4480-B2F1-527D556345EE}"/>
              </c:ext>
            </c:extLst>
          </c:dPt>
          <c:dPt>
            <c:idx val="14"/>
            <c:invertIfNegative val="0"/>
            <c:bubble3D val="0"/>
            <c:spPr>
              <a:solidFill>
                <a:srgbClr val="F79747"/>
              </a:solidFill>
            </c:spPr>
            <c:extLst>
              <c:ext xmlns:c16="http://schemas.microsoft.com/office/drawing/2014/chart" uri="{C3380CC4-5D6E-409C-BE32-E72D297353CC}">
                <c16:uniqueId val="{00000019-7EA3-4FF6-B323-8EBEF1926541}"/>
              </c:ext>
            </c:extLst>
          </c:dPt>
          <c:dPt>
            <c:idx val="15"/>
            <c:invertIfNegative val="0"/>
            <c:bubble3D val="0"/>
            <c:spPr>
              <a:solidFill>
                <a:srgbClr val="A1A1A1"/>
              </a:solidFill>
            </c:spPr>
            <c:extLst>
              <c:ext xmlns:c16="http://schemas.microsoft.com/office/drawing/2014/chart" uri="{C3380CC4-5D6E-409C-BE32-E72D297353CC}">
                <c16:uniqueId val="{00000007-A5A2-4480-B2F1-527D556345EE}"/>
              </c:ext>
            </c:extLst>
          </c:dPt>
          <c:dPt>
            <c:idx val="16"/>
            <c:invertIfNegative val="0"/>
            <c:bubble3D val="0"/>
            <c:spPr>
              <a:solidFill>
                <a:srgbClr val="F79747"/>
              </a:solidFill>
            </c:spPr>
            <c:extLst>
              <c:ext xmlns:c16="http://schemas.microsoft.com/office/drawing/2014/chart" uri="{C3380CC4-5D6E-409C-BE32-E72D297353CC}">
                <c16:uniqueId val="{0000001A-7EA3-4FF6-B323-8EBEF1926541}"/>
              </c:ext>
            </c:extLst>
          </c:dPt>
          <c:dPt>
            <c:idx val="17"/>
            <c:invertIfNegative val="0"/>
            <c:bubble3D val="0"/>
            <c:spPr>
              <a:solidFill>
                <a:srgbClr val="A1A1A1"/>
              </a:solidFill>
            </c:spPr>
            <c:extLst>
              <c:ext xmlns:c16="http://schemas.microsoft.com/office/drawing/2014/chart" uri="{C3380CC4-5D6E-409C-BE32-E72D297353CC}">
                <c16:uniqueId val="{00000010-DDE4-4E09-96A3-A375C73FE945}"/>
              </c:ext>
            </c:extLst>
          </c:dPt>
          <c:dPt>
            <c:idx val="18"/>
            <c:invertIfNegative val="0"/>
            <c:bubble3D val="0"/>
            <c:spPr>
              <a:solidFill>
                <a:srgbClr val="F79747"/>
              </a:solidFill>
            </c:spPr>
            <c:extLst>
              <c:ext xmlns:c16="http://schemas.microsoft.com/office/drawing/2014/chart" uri="{C3380CC4-5D6E-409C-BE32-E72D297353CC}">
                <c16:uniqueId val="{0000001B-7EA3-4FF6-B323-8EBEF1926541}"/>
              </c:ext>
            </c:extLst>
          </c:dPt>
          <c:dPt>
            <c:idx val="19"/>
            <c:invertIfNegative val="0"/>
            <c:bubble3D val="0"/>
            <c:spPr>
              <a:solidFill>
                <a:srgbClr val="A1A1A1"/>
              </a:solidFill>
            </c:spPr>
            <c:extLst>
              <c:ext xmlns:c16="http://schemas.microsoft.com/office/drawing/2014/chart" uri="{C3380CC4-5D6E-409C-BE32-E72D297353CC}">
                <c16:uniqueId val="{00000027-05CE-41F7-B654-F0F6FFC46C85}"/>
              </c:ext>
            </c:extLst>
          </c:dPt>
          <c:dLbls>
            <c:spPr>
              <a:noFill/>
              <a:ln>
                <a:noFill/>
              </a:ln>
              <a:effectLst/>
            </c:spPr>
            <c:txPr>
              <a:bodyPr/>
              <a:lstStyle/>
              <a:p>
                <a:pPr>
                  <a:defRPr sz="1000">
                    <a:latin typeface="Calibri" panose="020F0502020204030204" pitchFamily="34" charset="0"/>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Φύλλο1!$A$2:$A$5</c:f>
              <c:strCache>
                <c:ptCount val="4"/>
                <c:pt idx="0">
                  <c:v>ΙΟΥΛ. 2019</c:v>
                </c:pt>
                <c:pt idx="1">
                  <c:v>ΦΕΒΡ. 2020</c:v>
                </c:pt>
                <c:pt idx="2">
                  <c:v>ΙΟΥΛ. 2020</c:v>
                </c:pt>
                <c:pt idx="3">
                  <c:v>ΦΕΒΡ. 2021</c:v>
                </c:pt>
              </c:strCache>
            </c:strRef>
          </c:cat>
          <c:val>
            <c:numRef>
              <c:f>Φύλλο1!$B$2:$B$5</c:f>
              <c:numCache>
                <c:formatCode>0.0</c:formatCode>
                <c:ptCount val="4"/>
                <c:pt idx="0">
                  <c:v>24.1</c:v>
                </c:pt>
                <c:pt idx="1">
                  <c:v>20.9</c:v>
                </c:pt>
                <c:pt idx="2">
                  <c:v>32.700000000000003</c:v>
                </c:pt>
                <c:pt idx="3">
                  <c:v>38.200000000000003</c:v>
                </c:pt>
              </c:numCache>
            </c:numRef>
          </c:val>
          <c:extLst>
            <c:ext xmlns:c16="http://schemas.microsoft.com/office/drawing/2014/chart" uri="{C3380CC4-5D6E-409C-BE32-E72D297353CC}">
              <c16:uniqueId val="{00000008-A5A2-4480-B2F1-527D556345EE}"/>
            </c:ext>
          </c:extLst>
        </c:ser>
        <c:dLbls>
          <c:showLegendKey val="0"/>
          <c:showVal val="0"/>
          <c:showCatName val="0"/>
          <c:showSerName val="0"/>
          <c:showPercent val="0"/>
          <c:showBubbleSize val="0"/>
        </c:dLbls>
        <c:gapWidth val="75"/>
        <c:axId val="371554560"/>
        <c:axId val="371560448"/>
      </c:barChart>
      <c:catAx>
        <c:axId val="371554560"/>
        <c:scaling>
          <c:orientation val="minMax"/>
        </c:scaling>
        <c:delete val="0"/>
        <c:axPos val="b"/>
        <c:numFmt formatCode="General" sourceLinked="0"/>
        <c:majorTickMark val="out"/>
        <c:minorTickMark val="none"/>
        <c:tickLblPos val="nextTo"/>
        <c:txPr>
          <a:bodyPr/>
          <a:lstStyle/>
          <a:p>
            <a:pPr>
              <a:defRPr sz="800">
                <a:latin typeface="Calibri" panose="020F0502020204030204" pitchFamily="34" charset="0"/>
              </a:defRPr>
            </a:pPr>
            <a:endParaRPr lang="el-GR"/>
          </a:p>
        </c:txPr>
        <c:crossAx val="371560448"/>
        <c:crosses val="autoZero"/>
        <c:auto val="1"/>
        <c:lblAlgn val="ctr"/>
        <c:lblOffset val="100"/>
        <c:noMultiLvlLbl val="0"/>
      </c:catAx>
      <c:valAx>
        <c:axId val="371560448"/>
        <c:scaling>
          <c:orientation val="minMax"/>
        </c:scaling>
        <c:delete val="1"/>
        <c:axPos val="l"/>
        <c:majorGridlines/>
        <c:numFmt formatCode="0.0" sourceLinked="1"/>
        <c:majorTickMark val="out"/>
        <c:minorTickMark val="none"/>
        <c:tickLblPos val="nextTo"/>
        <c:crossAx val="371554560"/>
        <c:crosses val="autoZero"/>
        <c:crossBetween val="between"/>
      </c:valAx>
      <c:spPr>
        <a:ln>
          <a:solidFill>
            <a:schemeClr val="tx1"/>
          </a:solidFill>
        </a:ln>
      </c:spPr>
    </c:plotArea>
    <c:plotVisOnly val="1"/>
    <c:dispBlanksAs val="gap"/>
    <c:showDLblsOverMax val="0"/>
  </c:chart>
  <c:txPr>
    <a:bodyPr/>
    <a:lstStyle/>
    <a:p>
      <a:pPr>
        <a:defRPr sz="1800"/>
      </a:pPr>
      <a:endParaRPr lang="el-G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125000000000001"/>
          <c:y val="0.14687500000000001"/>
          <c:w val="0.47534490826548548"/>
          <c:h val="0.64401547225940814"/>
        </c:manualLayout>
      </c:layout>
      <c:doughnutChart>
        <c:varyColors val="1"/>
        <c:ser>
          <c:idx val="0"/>
          <c:order val="0"/>
          <c:tx>
            <c:strRef>
              <c:f>Φύλλο1!$B$1</c:f>
              <c:strCache>
                <c:ptCount val="1"/>
                <c:pt idx="0">
                  <c:v>Πωλήσεις</c:v>
                </c:pt>
              </c:strCache>
            </c:strRef>
          </c:tx>
          <c:spPr>
            <a:ln>
              <a:solidFill>
                <a:schemeClr val="bg1"/>
              </a:solidFill>
            </a:ln>
          </c:spPr>
          <c:dPt>
            <c:idx val="0"/>
            <c:bubble3D val="0"/>
            <c:spPr>
              <a:solidFill>
                <a:schemeClr val="accent2">
                  <a:lumMod val="75000"/>
                </a:schemeClr>
              </a:solidFill>
              <a:ln>
                <a:solidFill>
                  <a:schemeClr val="bg1"/>
                </a:solidFill>
              </a:ln>
            </c:spPr>
            <c:extLst>
              <c:ext xmlns:c16="http://schemas.microsoft.com/office/drawing/2014/chart" uri="{C3380CC4-5D6E-409C-BE32-E72D297353CC}">
                <c16:uniqueId val="{00000001-DF12-4FFE-B047-6EA6F44BB478}"/>
              </c:ext>
            </c:extLst>
          </c:dPt>
          <c:dPt>
            <c:idx val="1"/>
            <c:bubble3D val="0"/>
            <c:spPr>
              <a:solidFill>
                <a:schemeClr val="accent2">
                  <a:lumMod val="60000"/>
                  <a:lumOff val="40000"/>
                </a:schemeClr>
              </a:solidFill>
              <a:ln>
                <a:solidFill>
                  <a:schemeClr val="bg1"/>
                </a:solidFill>
              </a:ln>
            </c:spPr>
            <c:extLst>
              <c:ext xmlns:c16="http://schemas.microsoft.com/office/drawing/2014/chart" uri="{C3380CC4-5D6E-409C-BE32-E72D297353CC}">
                <c16:uniqueId val="{00000003-DF12-4FFE-B047-6EA6F44BB478}"/>
              </c:ext>
            </c:extLst>
          </c:dPt>
          <c:dPt>
            <c:idx val="2"/>
            <c:bubble3D val="0"/>
            <c:spPr>
              <a:solidFill>
                <a:schemeClr val="accent3">
                  <a:lumMod val="75000"/>
                </a:schemeClr>
              </a:solidFill>
              <a:ln>
                <a:solidFill>
                  <a:schemeClr val="bg1"/>
                </a:solidFill>
              </a:ln>
            </c:spPr>
            <c:extLst>
              <c:ext xmlns:c16="http://schemas.microsoft.com/office/drawing/2014/chart" uri="{C3380CC4-5D6E-409C-BE32-E72D297353CC}">
                <c16:uniqueId val="{00000005-DF12-4FFE-B047-6EA6F44BB478}"/>
              </c:ext>
            </c:extLst>
          </c:dPt>
          <c:dPt>
            <c:idx val="3"/>
            <c:bubble3D val="0"/>
            <c:spPr>
              <a:solidFill>
                <a:schemeClr val="accent3">
                  <a:lumMod val="50000"/>
                </a:schemeClr>
              </a:solidFill>
              <a:ln>
                <a:solidFill>
                  <a:schemeClr val="bg1"/>
                </a:solidFill>
              </a:ln>
            </c:spPr>
            <c:extLst>
              <c:ext xmlns:c16="http://schemas.microsoft.com/office/drawing/2014/chart" uri="{C3380CC4-5D6E-409C-BE32-E72D297353CC}">
                <c16:uniqueId val="{00000007-DF12-4FFE-B047-6EA6F44BB478}"/>
              </c:ext>
            </c:extLst>
          </c:dPt>
          <c:dPt>
            <c:idx val="4"/>
            <c:bubble3D val="0"/>
            <c:spPr>
              <a:solidFill>
                <a:schemeClr val="tx1">
                  <a:lumMod val="50000"/>
                  <a:lumOff val="50000"/>
                </a:schemeClr>
              </a:solidFill>
              <a:ln>
                <a:solidFill>
                  <a:schemeClr val="bg1"/>
                </a:solidFill>
              </a:ln>
            </c:spPr>
            <c:extLst>
              <c:ext xmlns:c16="http://schemas.microsoft.com/office/drawing/2014/chart" uri="{C3380CC4-5D6E-409C-BE32-E72D297353CC}">
                <c16:uniqueId val="{00000009-DF12-4FFE-B047-6EA6F44BB478}"/>
              </c:ext>
            </c:extLst>
          </c:dPt>
          <c:dLbls>
            <c:dLbl>
              <c:idx val="0"/>
              <c:layout>
                <c:manualLayout>
                  <c:x val="5.7973069148368493E-2"/>
                  <c:y val="-0.12160982852948084"/>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DF12-4FFE-B047-6EA6F44BB478}"/>
                </c:ext>
              </c:extLst>
            </c:dLbl>
            <c:dLbl>
              <c:idx val="1"/>
              <c:layout>
                <c:manualLayout>
                  <c:x val="0.16340000984342801"/>
                  <c:y val="7.3057922856503178E-3"/>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DF12-4FFE-B047-6EA6F44BB478}"/>
                </c:ext>
              </c:extLst>
            </c:dLbl>
            <c:dLbl>
              <c:idx val="2"/>
              <c:layout>
                <c:manualLayout>
                  <c:x val="6.1880157608543616E-2"/>
                  <c:y val="0.14130947759739579"/>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DF12-4FFE-B047-6EA6F44BB478}"/>
                </c:ext>
              </c:extLst>
            </c:dLbl>
            <c:dLbl>
              <c:idx val="3"/>
              <c:layout>
                <c:manualLayout>
                  <c:x val="-0.16528686636858134"/>
                  <c:y val="-2.7830103584964315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DF12-4FFE-B047-6EA6F44BB478}"/>
                </c:ext>
              </c:extLst>
            </c:dLbl>
            <c:dLbl>
              <c:idx val="4"/>
              <c:layout>
                <c:manualLayout>
                  <c:x val="-1.2500023681164386E-2"/>
                  <c:y val="-0.14117688076204565"/>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DF12-4FFE-B047-6EA6F44BB478}"/>
                </c:ext>
              </c:extLst>
            </c:dLbl>
            <c:spPr>
              <a:noFill/>
              <a:ln>
                <a:noFill/>
              </a:ln>
              <a:effectLst/>
            </c:spPr>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Φύλλο1!$A$2:$A$6</c:f>
              <c:strCache>
                <c:ptCount val="5"/>
                <c:pt idx="0">
                  <c:v>Πολύ πιθανό</c:v>
                </c:pt>
                <c:pt idx="1">
                  <c:v>Αρκετά πιθανό</c:v>
                </c:pt>
                <c:pt idx="2">
                  <c:v>Ελάχιστα πιθανό</c:v>
                </c:pt>
                <c:pt idx="3">
                  <c:v>Καθόλου πιθανό</c:v>
                </c:pt>
                <c:pt idx="4">
                  <c:v>ΔΓ/ΔΑ</c:v>
                </c:pt>
              </c:strCache>
            </c:strRef>
          </c:cat>
          <c:val>
            <c:numRef>
              <c:f>Φύλλο1!$B$2:$B$6</c:f>
              <c:numCache>
                <c:formatCode>General</c:formatCode>
                <c:ptCount val="5"/>
                <c:pt idx="0">
                  <c:v>14.6</c:v>
                </c:pt>
                <c:pt idx="1">
                  <c:v>23.6</c:v>
                </c:pt>
                <c:pt idx="2">
                  <c:v>20.7</c:v>
                </c:pt>
                <c:pt idx="3">
                  <c:v>38.200000000000003</c:v>
                </c:pt>
                <c:pt idx="4">
                  <c:v>2.9</c:v>
                </c:pt>
              </c:numCache>
            </c:numRef>
          </c:val>
          <c:extLst>
            <c:ext xmlns:c16="http://schemas.microsoft.com/office/drawing/2014/chart" uri="{C3380CC4-5D6E-409C-BE32-E72D297353CC}">
              <c16:uniqueId val="{0000000A-DF12-4FFE-B047-6EA6F44BB478}"/>
            </c:ext>
          </c:extLst>
        </c:ser>
        <c:dLbls>
          <c:showLegendKey val="0"/>
          <c:showVal val="0"/>
          <c:showCatName val="0"/>
          <c:showSerName val="0"/>
          <c:showPercent val="0"/>
          <c:showBubbleSize val="0"/>
          <c:showLeaderLines val="0"/>
        </c:dLbls>
        <c:firstSliceAng val="0"/>
        <c:holeSize val="50"/>
      </c:doughnutChart>
    </c:plotArea>
    <c:plotVisOnly val="1"/>
    <c:dispBlanksAs val="zero"/>
    <c:showDLblsOverMax val="0"/>
  </c:chart>
  <c:txPr>
    <a:bodyPr/>
    <a:lstStyle/>
    <a:p>
      <a:pPr>
        <a:defRPr sz="1000">
          <a:solidFill>
            <a:schemeClr val="tx1"/>
          </a:solidFill>
          <a:latin typeface="Microsoft JhengHei UI" panose="020B0604030504040204" pitchFamily="34" charset="-120"/>
          <a:ea typeface="Microsoft JhengHei UI" panose="020B0604030504040204" pitchFamily="34" charset="-120"/>
        </a:defRPr>
      </a:pPr>
      <a:endParaRPr lang="el-GR"/>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4499610106214614"/>
          <c:y val="7.5004705111813078E-2"/>
          <c:w val="0.73672919990022068"/>
          <c:h val="0.8585479374384144"/>
        </c:manualLayout>
      </c:layout>
      <c:barChart>
        <c:barDir val="bar"/>
        <c:grouping val="percentStacked"/>
        <c:varyColors val="0"/>
        <c:ser>
          <c:idx val="0"/>
          <c:order val="0"/>
          <c:tx>
            <c:strRef>
              <c:f>Φύλλο1!$B$1</c:f>
              <c:strCache>
                <c:ptCount val="1"/>
                <c:pt idx="0">
                  <c:v>Ναι</c:v>
                </c:pt>
              </c:strCache>
            </c:strRef>
          </c:tx>
          <c:spPr>
            <a:solidFill>
              <a:srgbClr val="37609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Φύλλο1!$A$2:$A$6</c:f>
              <c:strCache>
                <c:ptCount val="5"/>
                <c:pt idx="0">
                  <c:v>Αναστείλατε συμβάσεις εργασίας;</c:v>
                </c:pt>
                <c:pt idx="1">
                  <c:v>Εντάξατε το προσωπικό σας ή μέρος του προσωπικού σας στο πρόγραμμα ΣΥΝ-ΕΡΓΑΣΙΑ;</c:v>
                </c:pt>
                <c:pt idx="2">
                  <c:v>Υπήρξε προσωπικό που εργάστηκε με καθεστώς τηλεργασίας; </c:v>
                </c:pt>
                <c:pt idx="3">
                  <c:v>Κάνατε χρήση κάποιου προγράμματος του ΟΑΕΔ για δημιουργία νέων θέσεων εργασίας ;</c:v>
                </c:pt>
                <c:pt idx="4">
                  <c:v>Κάνατε χρήση του προγράμματος δημιουργίας 100.000 νέων θέσεων εργασίας;</c:v>
                </c:pt>
              </c:strCache>
            </c:strRef>
          </c:cat>
          <c:val>
            <c:numRef>
              <c:f>Φύλλο1!$B$2:$B$6</c:f>
              <c:numCache>
                <c:formatCode>General</c:formatCode>
                <c:ptCount val="5"/>
                <c:pt idx="0">
                  <c:v>55.6</c:v>
                </c:pt>
                <c:pt idx="1">
                  <c:v>13.3</c:v>
                </c:pt>
                <c:pt idx="2">
                  <c:v>12.6</c:v>
                </c:pt>
                <c:pt idx="3">
                  <c:v>4.3</c:v>
                </c:pt>
                <c:pt idx="4">
                  <c:v>3</c:v>
                </c:pt>
              </c:numCache>
            </c:numRef>
          </c:val>
          <c:extLst>
            <c:ext xmlns:c16="http://schemas.microsoft.com/office/drawing/2014/chart" uri="{C3380CC4-5D6E-409C-BE32-E72D297353CC}">
              <c16:uniqueId val="{00000000-B3E4-417C-8C0B-B5EBAB101188}"/>
            </c:ext>
          </c:extLst>
        </c:ser>
        <c:ser>
          <c:idx val="1"/>
          <c:order val="1"/>
          <c:tx>
            <c:strRef>
              <c:f>Φύλλο1!$C$1</c:f>
              <c:strCache>
                <c:ptCount val="1"/>
                <c:pt idx="0">
                  <c:v>Όχι</c:v>
                </c:pt>
              </c:strCache>
            </c:strRef>
          </c:tx>
          <c:invertIfNegative val="0"/>
          <c:dLbls>
            <c:spPr>
              <a:noFill/>
              <a:ln>
                <a:noFill/>
              </a:ln>
              <a:effectLst/>
            </c:spPr>
            <c:txPr>
              <a:bodyPr/>
              <a:lstStyle/>
              <a:p>
                <a:pPr algn="ctr">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Φύλλο1!$A$2:$A$6</c:f>
              <c:strCache>
                <c:ptCount val="5"/>
                <c:pt idx="0">
                  <c:v>Αναστείλατε συμβάσεις εργασίας;</c:v>
                </c:pt>
                <c:pt idx="1">
                  <c:v>Εντάξατε το προσωπικό σας ή μέρος του προσωπικού σας στο πρόγραμμα ΣΥΝ-ΕΡΓΑΣΙΑ;</c:v>
                </c:pt>
                <c:pt idx="2">
                  <c:v>Υπήρξε προσωπικό που εργάστηκε με καθεστώς τηλεργασίας; </c:v>
                </c:pt>
                <c:pt idx="3">
                  <c:v>Κάνατε χρήση κάποιου προγράμματος του ΟΑΕΔ για δημιουργία νέων θέσεων εργασίας ;</c:v>
                </c:pt>
                <c:pt idx="4">
                  <c:v>Κάνατε χρήση του προγράμματος δημιουργίας 100.000 νέων θέσεων εργασίας;</c:v>
                </c:pt>
              </c:strCache>
            </c:strRef>
          </c:cat>
          <c:val>
            <c:numRef>
              <c:f>Φύλλο1!$C$2:$C$6</c:f>
              <c:numCache>
                <c:formatCode>General</c:formatCode>
                <c:ptCount val="5"/>
                <c:pt idx="0">
                  <c:v>43.6</c:v>
                </c:pt>
                <c:pt idx="1">
                  <c:v>82.8</c:v>
                </c:pt>
                <c:pt idx="2">
                  <c:v>86.5</c:v>
                </c:pt>
                <c:pt idx="3">
                  <c:v>94.6</c:v>
                </c:pt>
                <c:pt idx="4">
                  <c:v>94.8</c:v>
                </c:pt>
              </c:numCache>
            </c:numRef>
          </c:val>
          <c:extLst>
            <c:ext xmlns:c16="http://schemas.microsoft.com/office/drawing/2014/chart" uri="{C3380CC4-5D6E-409C-BE32-E72D297353CC}">
              <c16:uniqueId val="{00000001-B3E4-417C-8C0B-B5EBAB101188}"/>
            </c:ext>
          </c:extLst>
        </c:ser>
        <c:ser>
          <c:idx val="2"/>
          <c:order val="2"/>
          <c:tx>
            <c:strRef>
              <c:f>Φύλλο1!$D$1</c:f>
              <c:strCache>
                <c:ptCount val="1"/>
                <c:pt idx="0">
                  <c:v>Δ.Α</c:v>
                </c:pt>
              </c:strCache>
            </c:strRef>
          </c:tx>
          <c:spPr>
            <a:solidFill>
              <a:schemeClr val="tx1">
                <a:lumMod val="50000"/>
                <a:lumOff val="50000"/>
              </a:schemeClr>
            </a:solidFill>
            <a:ln>
              <a:noFill/>
            </a:ln>
          </c:spPr>
          <c:invertIfNegative val="0"/>
          <c:dLbls>
            <c:spPr>
              <a:noFill/>
              <a:ln>
                <a:noFill/>
              </a:ln>
              <a:effectLst/>
            </c:spPr>
            <c:txPr>
              <a:bodyPr/>
              <a:lstStyle/>
              <a:p>
                <a:pPr algn="ctr">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Φύλλο1!$A$2:$A$6</c:f>
              <c:strCache>
                <c:ptCount val="5"/>
                <c:pt idx="0">
                  <c:v>Αναστείλατε συμβάσεις εργασίας;</c:v>
                </c:pt>
                <c:pt idx="1">
                  <c:v>Εντάξατε το προσωπικό σας ή μέρος του προσωπικού σας στο πρόγραμμα ΣΥΝ-ΕΡΓΑΣΙΑ;</c:v>
                </c:pt>
                <c:pt idx="2">
                  <c:v>Υπήρξε προσωπικό που εργάστηκε με καθεστώς τηλεργασίας; </c:v>
                </c:pt>
                <c:pt idx="3">
                  <c:v>Κάνατε χρήση κάποιου προγράμματος του ΟΑΕΔ για δημιουργία νέων θέσεων εργασίας ;</c:v>
                </c:pt>
                <c:pt idx="4">
                  <c:v>Κάνατε χρήση του προγράμματος δημιουργίας 100.000 νέων θέσεων εργασίας;</c:v>
                </c:pt>
              </c:strCache>
            </c:strRef>
          </c:cat>
          <c:val>
            <c:numRef>
              <c:f>Φύλλο1!$D$2:$D$6</c:f>
              <c:numCache>
                <c:formatCode>General</c:formatCode>
                <c:ptCount val="5"/>
                <c:pt idx="0">
                  <c:v>0.7</c:v>
                </c:pt>
                <c:pt idx="1">
                  <c:v>3.9</c:v>
                </c:pt>
                <c:pt idx="2">
                  <c:v>0.9</c:v>
                </c:pt>
                <c:pt idx="3">
                  <c:v>1.1000000000000001</c:v>
                </c:pt>
                <c:pt idx="4">
                  <c:v>2.2000000000000002</c:v>
                </c:pt>
              </c:numCache>
            </c:numRef>
          </c:val>
          <c:extLst>
            <c:ext xmlns:c16="http://schemas.microsoft.com/office/drawing/2014/chart" uri="{C3380CC4-5D6E-409C-BE32-E72D297353CC}">
              <c16:uniqueId val="{00000002-B3E4-417C-8C0B-B5EBAB101188}"/>
            </c:ext>
          </c:extLst>
        </c:ser>
        <c:dLbls>
          <c:showLegendKey val="0"/>
          <c:showVal val="0"/>
          <c:showCatName val="0"/>
          <c:showSerName val="0"/>
          <c:showPercent val="0"/>
          <c:showBubbleSize val="0"/>
        </c:dLbls>
        <c:gapWidth val="50"/>
        <c:overlap val="100"/>
        <c:axId val="373185536"/>
        <c:axId val="373199616"/>
      </c:barChart>
      <c:catAx>
        <c:axId val="373185536"/>
        <c:scaling>
          <c:orientation val="maxMin"/>
        </c:scaling>
        <c:delete val="0"/>
        <c:axPos val="l"/>
        <c:numFmt formatCode="General" sourceLinked="0"/>
        <c:majorTickMark val="out"/>
        <c:minorTickMark val="none"/>
        <c:tickLblPos val="nextTo"/>
        <c:crossAx val="373199616"/>
        <c:crosses val="autoZero"/>
        <c:auto val="1"/>
        <c:lblAlgn val="ctr"/>
        <c:lblOffset val="100"/>
        <c:noMultiLvlLbl val="0"/>
      </c:catAx>
      <c:valAx>
        <c:axId val="373199616"/>
        <c:scaling>
          <c:orientation val="minMax"/>
        </c:scaling>
        <c:delete val="0"/>
        <c:axPos val="b"/>
        <c:majorGridlines/>
        <c:numFmt formatCode="0%" sourceLinked="1"/>
        <c:majorTickMark val="out"/>
        <c:minorTickMark val="none"/>
        <c:tickLblPos val="nextTo"/>
        <c:crossAx val="373185536"/>
        <c:crosses val="max"/>
        <c:crossBetween val="between"/>
      </c:valAx>
    </c:plotArea>
    <c:legend>
      <c:legendPos val="r"/>
      <c:layout>
        <c:manualLayout>
          <c:xMode val="edge"/>
          <c:yMode val="edge"/>
          <c:x val="0.27412349392347385"/>
          <c:y val="2.3669048940676379E-2"/>
          <c:w val="0.66327029276441285"/>
          <c:h val="4.2934418698222704E-2"/>
        </c:manualLayout>
      </c:layout>
      <c:overlay val="0"/>
    </c:legend>
    <c:plotVisOnly val="1"/>
    <c:dispBlanksAs val="gap"/>
    <c:showDLblsOverMax val="0"/>
  </c:chart>
  <c:txPr>
    <a:bodyPr/>
    <a:lstStyle/>
    <a:p>
      <a:pPr>
        <a:defRPr sz="800">
          <a:latin typeface="Microsoft JhengHei UI" panose="020B0604030504040204" pitchFamily="34" charset="-120"/>
          <a:ea typeface="Microsoft JhengHei UI" panose="020B0604030504040204" pitchFamily="34" charset="-120"/>
        </a:defRPr>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l-GR"/>
              <a:t>ΔΕΙΚΤΗΣ ΟΙΚΟΝΟΜΙΚΟΥ ΚΛΙΜΑΤΟΣ ΜΜΕ </a:t>
            </a:r>
            <a:r>
              <a:rPr lang="el-GR" baseline="0"/>
              <a:t> </a:t>
            </a:r>
            <a:endParaRPr lang="el-GR"/>
          </a:p>
        </c:rich>
      </c:tx>
      <c:overlay val="0"/>
      <c:spPr>
        <a:noFill/>
        <a:ln>
          <a:noFill/>
        </a:ln>
        <a:effectLst/>
      </c:spPr>
    </c:title>
    <c:autoTitleDeleted val="0"/>
    <c:plotArea>
      <c:layout/>
      <c:lineChart>
        <c:grouping val="standard"/>
        <c:varyColors val="0"/>
        <c:ser>
          <c:idx val="1"/>
          <c:order val="0"/>
          <c:tx>
            <c:strRef>
              <c:f>'ΚΑΤΑΣΤΑΣΗ ΕΠΙΧΕΙΡΗΣΗΣ ΜΕΘ.Ε '!$A$4</c:f>
              <c:strCache>
                <c:ptCount val="1"/>
                <c:pt idx="0">
                  <c:v>ΕΛΛΑΔΑ</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l-G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'ΚΑΤΑΣΤΑΣΗ ΕΠΙΧΕΙΡΗΣΗΣ ΜΕΘ.Ε '!$B$3:$U$3</c:f>
              <c:strCache>
                <c:ptCount val="20"/>
                <c:pt idx="0">
                  <c:v>2011Α</c:v>
                </c:pt>
                <c:pt idx="1">
                  <c:v>2011Β</c:v>
                </c:pt>
                <c:pt idx="2">
                  <c:v>2012Α</c:v>
                </c:pt>
                <c:pt idx="3">
                  <c:v>2012Β</c:v>
                </c:pt>
                <c:pt idx="4">
                  <c:v>2013Α</c:v>
                </c:pt>
                <c:pt idx="5">
                  <c:v>2013Β</c:v>
                </c:pt>
                <c:pt idx="6">
                  <c:v>2014Α</c:v>
                </c:pt>
                <c:pt idx="7">
                  <c:v>2014Β</c:v>
                </c:pt>
                <c:pt idx="8">
                  <c:v>2015Α</c:v>
                </c:pt>
                <c:pt idx="9">
                  <c:v>2015Β</c:v>
                </c:pt>
                <c:pt idx="10">
                  <c:v>2016Α</c:v>
                </c:pt>
                <c:pt idx="11">
                  <c:v>2016Β</c:v>
                </c:pt>
                <c:pt idx="12">
                  <c:v>2017Α</c:v>
                </c:pt>
                <c:pt idx="13">
                  <c:v>2017Β</c:v>
                </c:pt>
                <c:pt idx="14">
                  <c:v>2018Α</c:v>
                </c:pt>
                <c:pt idx="15">
                  <c:v>2018Β</c:v>
                </c:pt>
                <c:pt idx="16">
                  <c:v>2019A</c:v>
                </c:pt>
                <c:pt idx="17">
                  <c:v>2019Β</c:v>
                </c:pt>
                <c:pt idx="18">
                  <c:v>2020Α</c:v>
                </c:pt>
                <c:pt idx="19">
                  <c:v>2020Β</c:v>
                </c:pt>
              </c:strCache>
            </c:strRef>
          </c:cat>
          <c:val>
            <c:numRef>
              <c:f>'ΚΑΤΑΣΤΑΣΗ ΕΠΙΧΕΙΡΗΣΗΣ ΜΕΘ.Ε '!$B$4:$U$4</c:f>
              <c:numCache>
                <c:formatCode>0.0</c:formatCode>
                <c:ptCount val="20"/>
                <c:pt idx="0">
                  <c:v>18.455366098294874</c:v>
                </c:pt>
                <c:pt idx="1">
                  <c:v>12.612612612612622</c:v>
                </c:pt>
                <c:pt idx="2">
                  <c:v>11.723446893787553</c:v>
                </c:pt>
                <c:pt idx="3">
                  <c:v>17.917917917917919</c:v>
                </c:pt>
                <c:pt idx="4">
                  <c:v>24.599999999999994</c:v>
                </c:pt>
                <c:pt idx="5">
                  <c:v>29.700000000000003</c:v>
                </c:pt>
                <c:pt idx="6">
                  <c:v>35.170340681362731</c:v>
                </c:pt>
                <c:pt idx="7">
                  <c:v>41.341341341341348</c:v>
                </c:pt>
                <c:pt idx="8">
                  <c:v>15.700000000000003</c:v>
                </c:pt>
                <c:pt idx="9">
                  <c:v>24.924924924924923</c:v>
                </c:pt>
                <c:pt idx="10">
                  <c:v>30.799999999999997</c:v>
                </c:pt>
                <c:pt idx="11">
                  <c:v>30.992978936810417</c:v>
                </c:pt>
                <c:pt idx="12">
                  <c:v>41.482965931863724</c:v>
                </c:pt>
                <c:pt idx="13">
                  <c:v>46.666666666666664</c:v>
                </c:pt>
                <c:pt idx="14">
                  <c:v>52.958876629889673</c:v>
                </c:pt>
                <c:pt idx="15">
                  <c:v>58.758758758758759</c:v>
                </c:pt>
                <c:pt idx="16">
                  <c:v>61.933534743202422</c:v>
                </c:pt>
                <c:pt idx="17">
                  <c:v>66.365461847389554</c:v>
                </c:pt>
                <c:pt idx="18">
                  <c:v>20.100000000000001</c:v>
                </c:pt>
                <c:pt idx="19">
                  <c:v>20.100000000000001</c:v>
                </c:pt>
              </c:numCache>
            </c:numRef>
          </c:val>
          <c:smooth val="0"/>
          <c:extLst>
            <c:ext xmlns:c16="http://schemas.microsoft.com/office/drawing/2014/chart" uri="{C3380CC4-5D6E-409C-BE32-E72D297353CC}">
              <c16:uniqueId val="{00000001-B6F4-43B1-8FB8-1EE9694EE3D3}"/>
            </c:ext>
          </c:extLst>
        </c:ser>
        <c:dLbls>
          <c:showLegendKey val="0"/>
          <c:showVal val="0"/>
          <c:showCatName val="0"/>
          <c:showSerName val="0"/>
          <c:showPercent val="0"/>
          <c:showBubbleSize val="0"/>
        </c:dLbls>
        <c:marker val="1"/>
        <c:smooth val="0"/>
        <c:axId val="241859968"/>
        <c:axId val="348386432"/>
      </c:lineChart>
      <c:catAx>
        <c:axId val="241859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cap="all" spc="120" normalizeH="0" baseline="0">
                <a:solidFill>
                  <a:schemeClr val="tx1">
                    <a:lumMod val="65000"/>
                    <a:lumOff val="35000"/>
                  </a:schemeClr>
                </a:solidFill>
                <a:latin typeface="+mn-lt"/>
                <a:ea typeface="+mn-ea"/>
                <a:cs typeface="+mn-cs"/>
              </a:defRPr>
            </a:pPr>
            <a:endParaRPr lang="el-GR"/>
          </a:p>
        </c:txPr>
        <c:crossAx val="348386432"/>
        <c:crosses val="autoZero"/>
        <c:auto val="1"/>
        <c:lblAlgn val="ctr"/>
        <c:lblOffset val="100"/>
        <c:noMultiLvlLbl val="0"/>
      </c:catAx>
      <c:valAx>
        <c:axId val="348386432"/>
        <c:scaling>
          <c:orientation val="minMax"/>
          <c:max val="80"/>
        </c:scaling>
        <c:delete val="0"/>
        <c:axPos val="l"/>
        <c:numFmt formatCode="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41859968"/>
        <c:crosses val="autoZero"/>
        <c:crossBetween val="between"/>
        <c:majorUnit val="10"/>
      </c:valAx>
      <c:spPr>
        <a:noFill/>
        <a:ln w="25400">
          <a:noFill/>
        </a:ln>
        <a:effectLst/>
      </c:spPr>
    </c:plotArea>
    <c:legend>
      <c:legendPos val="t"/>
      <c:overlay val="0"/>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884608733201718"/>
          <c:y val="0.10526040035955612"/>
          <c:w val="0.77812960509629525"/>
          <c:h val="0.83061961970555465"/>
        </c:manualLayout>
      </c:layout>
      <c:barChart>
        <c:barDir val="bar"/>
        <c:grouping val="percentStacked"/>
        <c:varyColors val="0"/>
        <c:ser>
          <c:idx val="0"/>
          <c:order val="0"/>
          <c:tx>
            <c:strRef>
              <c:f>Φύλλο1!$B$1</c:f>
              <c:strCache>
                <c:ptCount val="1"/>
                <c:pt idx="0">
                  <c:v>Ναι</c:v>
                </c:pt>
              </c:strCache>
            </c:strRef>
          </c:tx>
          <c:spPr>
            <a:solidFill>
              <a:srgbClr val="4F6228"/>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Φύλλο1!$A$2:$A$5</c:f>
              <c:strCache>
                <c:ptCount val="4"/>
                <c:pt idx="0">
                  <c:v>Επιστρεπτέες προκαταβολές</c:v>
                </c:pt>
                <c:pt idx="1">
                  <c:v>Μείωση ενοικίου</c:v>
                </c:pt>
                <c:pt idx="2">
                  <c:v>Αναστολή φορολογικών υποχρεώσεων</c:v>
                </c:pt>
                <c:pt idx="3">
                  <c:v>Αναστολή επιταγών για 75 ημέρες</c:v>
                </c:pt>
              </c:strCache>
            </c:strRef>
          </c:cat>
          <c:val>
            <c:numRef>
              <c:f>Φύλλο1!$B$2:$B$5</c:f>
              <c:numCache>
                <c:formatCode>General</c:formatCode>
                <c:ptCount val="4"/>
                <c:pt idx="0">
                  <c:v>63.7</c:v>
                </c:pt>
                <c:pt idx="1">
                  <c:v>38.799999999999997</c:v>
                </c:pt>
                <c:pt idx="2">
                  <c:v>22.5</c:v>
                </c:pt>
                <c:pt idx="3">
                  <c:v>9.5</c:v>
                </c:pt>
              </c:numCache>
            </c:numRef>
          </c:val>
          <c:extLst>
            <c:ext xmlns:c16="http://schemas.microsoft.com/office/drawing/2014/chart" uri="{C3380CC4-5D6E-409C-BE32-E72D297353CC}">
              <c16:uniqueId val="{00000000-DD70-428F-8E76-515FF0B97A91}"/>
            </c:ext>
          </c:extLst>
        </c:ser>
        <c:ser>
          <c:idx val="1"/>
          <c:order val="1"/>
          <c:tx>
            <c:strRef>
              <c:f>Φύλλο1!$C$1</c:f>
              <c:strCache>
                <c:ptCount val="1"/>
                <c:pt idx="0">
                  <c:v>Όχι</c:v>
                </c:pt>
              </c:strCache>
            </c:strRef>
          </c:tx>
          <c:spPr>
            <a:solidFill>
              <a:schemeClr val="accent2">
                <a:lumMod val="75000"/>
              </a:schemeClr>
            </a:solidFill>
          </c:spPr>
          <c:invertIfNegative val="0"/>
          <c:dLbls>
            <c:spPr>
              <a:noFill/>
              <a:ln>
                <a:noFill/>
              </a:ln>
              <a:effectLst/>
            </c:spPr>
            <c:txPr>
              <a:bodyPr/>
              <a:lstStyle/>
              <a:p>
                <a:pPr algn="ctr">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Φύλλο1!$A$2:$A$5</c:f>
              <c:strCache>
                <c:ptCount val="4"/>
                <c:pt idx="0">
                  <c:v>Επιστρεπτέες προκαταβολές</c:v>
                </c:pt>
                <c:pt idx="1">
                  <c:v>Μείωση ενοικίου</c:v>
                </c:pt>
                <c:pt idx="2">
                  <c:v>Αναστολή φορολογικών υποχρεώσεων</c:v>
                </c:pt>
                <c:pt idx="3">
                  <c:v>Αναστολή επιταγών για 75 ημέρες</c:v>
                </c:pt>
              </c:strCache>
            </c:strRef>
          </c:cat>
          <c:val>
            <c:numRef>
              <c:f>Φύλλο1!$C$2:$C$5</c:f>
              <c:numCache>
                <c:formatCode>General</c:formatCode>
                <c:ptCount val="4"/>
                <c:pt idx="0">
                  <c:v>35.200000000000003</c:v>
                </c:pt>
                <c:pt idx="1">
                  <c:v>50.9</c:v>
                </c:pt>
                <c:pt idx="2">
                  <c:v>75.3</c:v>
                </c:pt>
                <c:pt idx="3">
                  <c:v>88.4</c:v>
                </c:pt>
              </c:numCache>
            </c:numRef>
          </c:val>
          <c:extLst>
            <c:ext xmlns:c16="http://schemas.microsoft.com/office/drawing/2014/chart" uri="{C3380CC4-5D6E-409C-BE32-E72D297353CC}">
              <c16:uniqueId val="{00000001-DD70-428F-8E76-515FF0B97A91}"/>
            </c:ext>
          </c:extLst>
        </c:ser>
        <c:ser>
          <c:idx val="2"/>
          <c:order val="2"/>
          <c:tx>
            <c:strRef>
              <c:f>Φύλλο1!$D$1</c:f>
              <c:strCache>
                <c:ptCount val="1"/>
                <c:pt idx="0">
                  <c:v>ΔΑ</c:v>
                </c:pt>
              </c:strCache>
            </c:strRef>
          </c:tx>
          <c:spPr>
            <a:solidFill>
              <a:schemeClr val="tx1">
                <a:lumMod val="50000"/>
                <a:lumOff val="50000"/>
              </a:schemeClr>
            </a:solidFill>
          </c:spPr>
          <c:invertIfNegative val="0"/>
          <c:dLbls>
            <c:dLbl>
              <c:idx val="0"/>
              <c:layout>
                <c:manualLayout>
                  <c:x val="-7.0832313143521326E-3"/>
                  <c:y val="-2.556076700012374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70-428F-8E76-515FF0B97A91}"/>
                </c:ext>
              </c:extLst>
            </c:dLbl>
            <c:spPr>
              <a:noFill/>
              <a:ln>
                <a:noFill/>
              </a:ln>
              <a:effectLst/>
            </c:spPr>
            <c:txPr>
              <a:bodyPr/>
              <a:lstStyle/>
              <a:p>
                <a:pPr algn="ctr">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Φύλλο1!$A$2:$A$5</c:f>
              <c:strCache>
                <c:ptCount val="4"/>
                <c:pt idx="0">
                  <c:v>Επιστρεπτέες προκαταβολές</c:v>
                </c:pt>
                <c:pt idx="1">
                  <c:v>Μείωση ενοικίου</c:v>
                </c:pt>
                <c:pt idx="2">
                  <c:v>Αναστολή φορολογικών υποχρεώσεων</c:v>
                </c:pt>
                <c:pt idx="3">
                  <c:v>Αναστολή επιταγών για 75 ημέρες</c:v>
                </c:pt>
              </c:strCache>
            </c:strRef>
          </c:cat>
          <c:val>
            <c:numRef>
              <c:f>Φύλλο1!$D$2:$D$5</c:f>
              <c:numCache>
                <c:formatCode>General</c:formatCode>
                <c:ptCount val="4"/>
                <c:pt idx="0">
                  <c:v>1.1000000000000001</c:v>
                </c:pt>
                <c:pt idx="1">
                  <c:v>10.199999999999999</c:v>
                </c:pt>
                <c:pt idx="2">
                  <c:v>2.2000000000000002</c:v>
                </c:pt>
                <c:pt idx="3">
                  <c:v>2.1</c:v>
                </c:pt>
              </c:numCache>
            </c:numRef>
          </c:val>
          <c:extLst>
            <c:ext xmlns:c16="http://schemas.microsoft.com/office/drawing/2014/chart" uri="{C3380CC4-5D6E-409C-BE32-E72D297353CC}">
              <c16:uniqueId val="{00000003-DD70-428F-8E76-515FF0B97A91}"/>
            </c:ext>
          </c:extLst>
        </c:ser>
        <c:dLbls>
          <c:dLblPos val="ctr"/>
          <c:showLegendKey val="0"/>
          <c:showVal val="1"/>
          <c:showCatName val="0"/>
          <c:showSerName val="0"/>
          <c:showPercent val="0"/>
          <c:showBubbleSize val="0"/>
        </c:dLbls>
        <c:gapWidth val="50"/>
        <c:overlap val="100"/>
        <c:axId val="373486336"/>
        <c:axId val="373487872"/>
      </c:barChart>
      <c:catAx>
        <c:axId val="373486336"/>
        <c:scaling>
          <c:orientation val="maxMin"/>
        </c:scaling>
        <c:delete val="0"/>
        <c:axPos val="l"/>
        <c:numFmt formatCode="General" sourceLinked="0"/>
        <c:majorTickMark val="out"/>
        <c:minorTickMark val="none"/>
        <c:tickLblPos val="nextTo"/>
        <c:crossAx val="373487872"/>
        <c:crosses val="autoZero"/>
        <c:auto val="1"/>
        <c:lblAlgn val="ctr"/>
        <c:lblOffset val="100"/>
        <c:noMultiLvlLbl val="0"/>
      </c:catAx>
      <c:valAx>
        <c:axId val="373487872"/>
        <c:scaling>
          <c:orientation val="minMax"/>
        </c:scaling>
        <c:delete val="0"/>
        <c:axPos val="b"/>
        <c:majorGridlines/>
        <c:numFmt formatCode="0%" sourceLinked="1"/>
        <c:majorTickMark val="out"/>
        <c:minorTickMark val="none"/>
        <c:tickLblPos val="nextTo"/>
        <c:crossAx val="373486336"/>
        <c:crosses val="max"/>
        <c:crossBetween val="between"/>
      </c:valAx>
    </c:plotArea>
    <c:legend>
      <c:legendPos val="r"/>
      <c:layout>
        <c:manualLayout>
          <c:xMode val="edge"/>
          <c:yMode val="edge"/>
          <c:x val="0.29285464268647904"/>
          <c:y val="1.9505283120212609E-2"/>
          <c:w val="0.70390139674751706"/>
          <c:h val="6.1499900684435713E-2"/>
        </c:manualLayout>
      </c:layout>
      <c:overlay val="0"/>
    </c:legend>
    <c:plotVisOnly val="1"/>
    <c:dispBlanksAs val="gap"/>
    <c:showDLblsOverMax val="0"/>
  </c:chart>
  <c:txPr>
    <a:bodyPr/>
    <a:lstStyle/>
    <a:p>
      <a:pPr>
        <a:defRPr sz="800">
          <a:latin typeface="Microsoft JhengHei UI" panose="020B0604030504040204" pitchFamily="34" charset="-120"/>
          <a:ea typeface="Microsoft JhengHei UI" panose="020B0604030504040204" pitchFamily="34" charset="-120"/>
        </a:defRPr>
      </a:pPr>
      <a:endParaRPr lang="el-GR"/>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172635270627928"/>
          <c:y val="5.8213261204595503E-2"/>
          <c:w val="0.69424545814846406"/>
          <c:h val="0.88396196718883091"/>
        </c:manualLayout>
      </c:layout>
      <c:barChart>
        <c:barDir val="bar"/>
        <c:grouping val="clustered"/>
        <c:varyColors val="0"/>
        <c:ser>
          <c:idx val="0"/>
          <c:order val="0"/>
          <c:tx>
            <c:strRef>
              <c:f>Φύλλο1!$B$1</c:f>
              <c:strCache>
                <c:ptCount val="1"/>
                <c:pt idx="0">
                  <c:v>Σειρά 1</c:v>
                </c:pt>
              </c:strCache>
            </c:strRef>
          </c:tx>
          <c:spPr>
            <a:solidFill>
              <a:schemeClr val="accent1">
                <a:lumMod val="75000"/>
              </a:schemeClr>
            </a:solidFill>
            <a:ln>
              <a:noFill/>
            </a:ln>
          </c:spPr>
          <c:invertIfNegative val="0"/>
          <c:dPt>
            <c:idx val="0"/>
            <c:invertIfNegative val="0"/>
            <c:bubble3D val="0"/>
            <c:extLst>
              <c:ext xmlns:c16="http://schemas.microsoft.com/office/drawing/2014/chart" uri="{C3380CC4-5D6E-409C-BE32-E72D297353CC}">
                <c16:uniqueId val="{00000000-7A48-448B-98BF-46303B001072}"/>
              </c:ext>
            </c:extLst>
          </c:dPt>
          <c:dPt>
            <c:idx val="1"/>
            <c:invertIfNegative val="0"/>
            <c:bubble3D val="0"/>
            <c:extLst>
              <c:ext xmlns:c16="http://schemas.microsoft.com/office/drawing/2014/chart" uri="{C3380CC4-5D6E-409C-BE32-E72D297353CC}">
                <c16:uniqueId val="{00000001-7A48-448B-98BF-46303B001072}"/>
              </c:ext>
            </c:extLst>
          </c:dPt>
          <c:dPt>
            <c:idx val="2"/>
            <c:invertIfNegative val="0"/>
            <c:bubble3D val="0"/>
            <c:extLst>
              <c:ext xmlns:c16="http://schemas.microsoft.com/office/drawing/2014/chart" uri="{C3380CC4-5D6E-409C-BE32-E72D297353CC}">
                <c16:uniqueId val="{00000002-7A48-448B-98BF-46303B001072}"/>
              </c:ext>
            </c:extLst>
          </c:dPt>
          <c:dPt>
            <c:idx val="3"/>
            <c:invertIfNegative val="0"/>
            <c:bubble3D val="0"/>
            <c:extLst>
              <c:ext xmlns:c16="http://schemas.microsoft.com/office/drawing/2014/chart" uri="{C3380CC4-5D6E-409C-BE32-E72D297353CC}">
                <c16:uniqueId val="{00000003-7A48-448B-98BF-46303B001072}"/>
              </c:ext>
            </c:extLst>
          </c:dPt>
          <c:dPt>
            <c:idx val="5"/>
            <c:invertIfNegative val="0"/>
            <c:bubble3D val="0"/>
            <c:extLst>
              <c:ext xmlns:c16="http://schemas.microsoft.com/office/drawing/2014/chart" uri="{C3380CC4-5D6E-409C-BE32-E72D297353CC}">
                <c16:uniqueId val="{00000004-7A48-448B-98BF-46303B001072}"/>
              </c:ext>
            </c:extLst>
          </c:dPt>
          <c:dPt>
            <c:idx val="8"/>
            <c:invertIfNegative val="0"/>
            <c:bubble3D val="0"/>
            <c:spPr>
              <a:solidFill>
                <a:srgbClr val="376092"/>
              </a:solidFill>
              <a:ln>
                <a:noFill/>
              </a:ln>
            </c:spPr>
            <c:extLst>
              <c:ext xmlns:c16="http://schemas.microsoft.com/office/drawing/2014/chart" uri="{C3380CC4-5D6E-409C-BE32-E72D297353CC}">
                <c16:uniqueId val="{00000006-7A48-448B-98BF-46303B001072}"/>
              </c:ext>
            </c:extLst>
          </c:dPt>
          <c:dPt>
            <c:idx val="9"/>
            <c:invertIfNegative val="0"/>
            <c:bubble3D val="0"/>
            <c:spPr>
              <a:solidFill>
                <a:schemeClr val="bg1">
                  <a:lumMod val="75000"/>
                </a:schemeClr>
              </a:solidFill>
              <a:ln>
                <a:noFill/>
              </a:ln>
            </c:spPr>
            <c:extLst>
              <c:ext xmlns:c16="http://schemas.microsoft.com/office/drawing/2014/chart" uri="{C3380CC4-5D6E-409C-BE32-E72D297353CC}">
                <c16:uniqueId val="{00000008-7A48-448B-98BF-46303B001072}"/>
              </c:ext>
            </c:extLst>
          </c:dPt>
          <c:dPt>
            <c:idx val="10"/>
            <c:invertIfNegative val="0"/>
            <c:bubble3D val="0"/>
            <c:spPr>
              <a:solidFill>
                <a:schemeClr val="bg1">
                  <a:lumMod val="75000"/>
                </a:schemeClr>
              </a:solidFill>
              <a:ln>
                <a:noFill/>
              </a:ln>
            </c:spPr>
            <c:extLst>
              <c:ext xmlns:c16="http://schemas.microsoft.com/office/drawing/2014/chart" uri="{C3380CC4-5D6E-409C-BE32-E72D297353CC}">
                <c16:uniqueId val="{0000000A-7A48-448B-98BF-46303B001072}"/>
              </c:ext>
            </c:extLst>
          </c:dPt>
          <c:dPt>
            <c:idx val="11"/>
            <c:invertIfNegative val="0"/>
            <c:bubble3D val="0"/>
            <c:spPr>
              <a:solidFill>
                <a:srgbClr val="BFBFBF"/>
              </a:solidFill>
              <a:ln>
                <a:noFill/>
              </a:ln>
            </c:spPr>
            <c:extLst>
              <c:ext xmlns:c16="http://schemas.microsoft.com/office/drawing/2014/chart" uri="{C3380CC4-5D6E-409C-BE32-E72D297353CC}">
                <c16:uniqueId val="{0000000C-7A48-448B-98BF-46303B001072}"/>
              </c:ext>
            </c:extLst>
          </c:dPt>
          <c:dLbls>
            <c:dLbl>
              <c:idx val="4"/>
              <c:spPr/>
              <c:txPr>
                <a:bodyPr/>
                <a:lstStyle/>
                <a:p>
                  <a:pPr algn="ctr">
                    <a:defRPr/>
                  </a:pPr>
                  <a:endParaRPr lang="el-GR"/>
                </a:p>
              </c:txPr>
              <c:showLegendKey val="0"/>
              <c:showVal val="1"/>
              <c:showCatName val="0"/>
              <c:showSerName val="0"/>
              <c:showPercent val="0"/>
              <c:showBubbleSize val="0"/>
              <c:extLst>
                <c:ext xmlns:c16="http://schemas.microsoft.com/office/drawing/2014/chart" uri="{C3380CC4-5D6E-409C-BE32-E72D297353CC}">
                  <c16:uniqueId val="{0000000D-F3A9-4E37-BBD2-0BFCACDD96F6}"/>
                </c:ext>
              </c:extLst>
            </c:dLbl>
            <c:dLbl>
              <c:idx val="5"/>
              <c:spPr/>
              <c:txPr>
                <a:bodyPr/>
                <a:lstStyle/>
                <a:p>
                  <a:pPr algn="ctr">
                    <a:defRPr/>
                  </a:pPr>
                  <a:endParaRPr lang="el-GR"/>
                </a:p>
              </c:txPr>
              <c:showLegendKey val="0"/>
              <c:showVal val="1"/>
              <c:showCatName val="0"/>
              <c:showSerName val="0"/>
              <c:showPercent val="0"/>
              <c:showBubbleSize val="0"/>
              <c:extLst>
                <c:ext xmlns:c16="http://schemas.microsoft.com/office/drawing/2014/chart" uri="{C3380CC4-5D6E-409C-BE32-E72D297353CC}">
                  <c16:uniqueId val="{00000004-7A48-448B-98BF-46303B00107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Φύλλο1!$A$2:$A$11</c:f>
              <c:strCache>
                <c:ptCount val="10"/>
                <c:pt idx="0">
                  <c:v>Επιστρεπτέες προκαταβολές</c:v>
                </c:pt>
                <c:pt idx="1">
                  <c:v>Μείωση/ απαλλαγή ενοικίου</c:v>
                </c:pt>
                <c:pt idx="2">
                  <c:v>Αναστολή φορολογικών/ασφαλιστικών υποχρεώσεων</c:v>
                </c:pt>
                <c:pt idx="3">
                  <c:v>Αναστολή συμβάσεων εργασίας</c:v>
                </c:pt>
                <c:pt idx="4">
                  <c:v>Τραπεζική δανειοδότηση με την εγγύηση του ελληνικού δημοσίου</c:v>
                </c:pt>
                <c:pt idx="5">
                  <c:v>Αναστολή επιταγών για 75 ημέρες</c:v>
                </c:pt>
                <c:pt idx="6">
                  <c:v>Προγράμματα δημιουργίας θέσεων εργασίας του ΟΑΕΔ</c:v>
                </c:pt>
                <c:pt idx="7">
                  <c:v>Πρόγραμμα δημιουργίας 100.000 θέσεων εργασίας</c:v>
                </c:pt>
                <c:pt idx="8">
                  <c:v>Πρόγραμμα Συνεργασία</c:v>
                </c:pt>
                <c:pt idx="9">
                  <c:v>ΔΑ</c:v>
                </c:pt>
              </c:strCache>
            </c:strRef>
          </c:cat>
          <c:val>
            <c:numRef>
              <c:f>Φύλλο1!$B$2:$B$11</c:f>
              <c:numCache>
                <c:formatCode>General</c:formatCode>
                <c:ptCount val="10"/>
                <c:pt idx="0">
                  <c:v>37.799999999999997</c:v>
                </c:pt>
                <c:pt idx="1">
                  <c:v>14.6</c:v>
                </c:pt>
                <c:pt idx="2">
                  <c:v>13.6</c:v>
                </c:pt>
                <c:pt idx="3">
                  <c:v>8</c:v>
                </c:pt>
                <c:pt idx="4">
                  <c:v>8</c:v>
                </c:pt>
                <c:pt idx="5">
                  <c:v>2.2000000000000002</c:v>
                </c:pt>
                <c:pt idx="6">
                  <c:v>1.2</c:v>
                </c:pt>
                <c:pt idx="7">
                  <c:v>0.9</c:v>
                </c:pt>
                <c:pt idx="8">
                  <c:v>0.2</c:v>
                </c:pt>
                <c:pt idx="9">
                  <c:v>13.4</c:v>
                </c:pt>
              </c:numCache>
            </c:numRef>
          </c:val>
          <c:extLst>
            <c:ext xmlns:c16="http://schemas.microsoft.com/office/drawing/2014/chart" uri="{C3380CC4-5D6E-409C-BE32-E72D297353CC}">
              <c16:uniqueId val="{0000000E-7A48-448B-98BF-46303B001072}"/>
            </c:ext>
          </c:extLst>
        </c:ser>
        <c:dLbls>
          <c:showLegendKey val="0"/>
          <c:showVal val="0"/>
          <c:showCatName val="0"/>
          <c:showSerName val="0"/>
          <c:showPercent val="0"/>
          <c:showBubbleSize val="0"/>
        </c:dLbls>
        <c:gapWidth val="72"/>
        <c:axId val="374399744"/>
        <c:axId val="374401280"/>
      </c:barChart>
      <c:catAx>
        <c:axId val="374399744"/>
        <c:scaling>
          <c:orientation val="maxMin"/>
        </c:scaling>
        <c:delete val="0"/>
        <c:axPos val="l"/>
        <c:numFmt formatCode="General" sourceLinked="0"/>
        <c:majorTickMark val="out"/>
        <c:minorTickMark val="none"/>
        <c:tickLblPos val="nextTo"/>
        <c:txPr>
          <a:bodyPr/>
          <a:lstStyle/>
          <a:p>
            <a:pPr>
              <a:defRPr sz="700"/>
            </a:pPr>
            <a:endParaRPr lang="el-GR"/>
          </a:p>
        </c:txPr>
        <c:crossAx val="374401280"/>
        <c:crosses val="autoZero"/>
        <c:auto val="1"/>
        <c:lblAlgn val="ctr"/>
        <c:lblOffset val="100"/>
        <c:noMultiLvlLbl val="0"/>
      </c:catAx>
      <c:valAx>
        <c:axId val="374401280"/>
        <c:scaling>
          <c:orientation val="minMax"/>
        </c:scaling>
        <c:delete val="0"/>
        <c:axPos val="b"/>
        <c:numFmt formatCode="General" sourceLinked="1"/>
        <c:majorTickMark val="out"/>
        <c:minorTickMark val="none"/>
        <c:tickLblPos val="nextTo"/>
        <c:crossAx val="374399744"/>
        <c:crosses val="max"/>
        <c:crossBetween val="between"/>
      </c:valAx>
    </c:plotArea>
    <c:plotVisOnly val="1"/>
    <c:dispBlanksAs val="gap"/>
    <c:showDLblsOverMax val="0"/>
  </c:chart>
  <c:txPr>
    <a:bodyPr/>
    <a:lstStyle/>
    <a:p>
      <a:pPr>
        <a:defRPr sz="800">
          <a:latin typeface="Microsoft JhengHei UI" panose="020B0604030504040204" pitchFamily="34" charset="-120"/>
          <a:ea typeface="Microsoft JhengHei UI" panose="020B0604030504040204" pitchFamily="34" charset="-120"/>
        </a:defRPr>
      </a:pPr>
      <a:endParaRPr lang="el-GR"/>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027537129444247"/>
          <c:y val="4.6907516080302844E-2"/>
          <c:w val="0.69424545814846406"/>
          <c:h val="0.84778370396655767"/>
        </c:manualLayout>
      </c:layout>
      <c:barChart>
        <c:barDir val="bar"/>
        <c:grouping val="clustered"/>
        <c:varyColors val="0"/>
        <c:ser>
          <c:idx val="0"/>
          <c:order val="0"/>
          <c:tx>
            <c:strRef>
              <c:f>Φύλλο1!$B$1</c:f>
              <c:strCache>
                <c:ptCount val="1"/>
                <c:pt idx="0">
                  <c:v>Σειρά 1</c:v>
                </c:pt>
              </c:strCache>
            </c:strRef>
          </c:tx>
          <c:spPr>
            <a:solidFill>
              <a:schemeClr val="accent1">
                <a:lumMod val="75000"/>
              </a:schemeClr>
            </a:solidFill>
            <a:ln>
              <a:noFill/>
            </a:ln>
          </c:spPr>
          <c:invertIfNegative val="0"/>
          <c:dPt>
            <c:idx val="0"/>
            <c:invertIfNegative val="0"/>
            <c:bubble3D val="0"/>
            <c:extLst>
              <c:ext xmlns:c16="http://schemas.microsoft.com/office/drawing/2014/chart" uri="{C3380CC4-5D6E-409C-BE32-E72D297353CC}">
                <c16:uniqueId val="{00000000-764D-4560-A7CC-02CECBFBAAC0}"/>
              </c:ext>
            </c:extLst>
          </c:dPt>
          <c:dPt>
            <c:idx val="1"/>
            <c:invertIfNegative val="0"/>
            <c:bubble3D val="0"/>
            <c:extLst>
              <c:ext xmlns:c16="http://schemas.microsoft.com/office/drawing/2014/chart" uri="{C3380CC4-5D6E-409C-BE32-E72D297353CC}">
                <c16:uniqueId val="{00000001-764D-4560-A7CC-02CECBFBAAC0}"/>
              </c:ext>
            </c:extLst>
          </c:dPt>
          <c:dPt>
            <c:idx val="2"/>
            <c:invertIfNegative val="0"/>
            <c:bubble3D val="0"/>
            <c:extLst>
              <c:ext xmlns:c16="http://schemas.microsoft.com/office/drawing/2014/chart" uri="{C3380CC4-5D6E-409C-BE32-E72D297353CC}">
                <c16:uniqueId val="{00000002-764D-4560-A7CC-02CECBFBAAC0}"/>
              </c:ext>
            </c:extLst>
          </c:dPt>
          <c:dPt>
            <c:idx val="3"/>
            <c:invertIfNegative val="0"/>
            <c:bubble3D val="0"/>
            <c:extLst>
              <c:ext xmlns:c16="http://schemas.microsoft.com/office/drawing/2014/chart" uri="{C3380CC4-5D6E-409C-BE32-E72D297353CC}">
                <c16:uniqueId val="{00000003-764D-4560-A7CC-02CECBFBAAC0}"/>
              </c:ext>
            </c:extLst>
          </c:dPt>
          <c:dPt>
            <c:idx val="5"/>
            <c:invertIfNegative val="0"/>
            <c:bubble3D val="0"/>
            <c:extLst>
              <c:ext xmlns:c16="http://schemas.microsoft.com/office/drawing/2014/chart" uri="{C3380CC4-5D6E-409C-BE32-E72D297353CC}">
                <c16:uniqueId val="{00000004-764D-4560-A7CC-02CECBFBAAC0}"/>
              </c:ext>
            </c:extLst>
          </c:dPt>
          <c:dPt>
            <c:idx val="9"/>
            <c:invertIfNegative val="0"/>
            <c:bubble3D val="0"/>
            <c:spPr>
              <a:solidFill>
                <a:srgbClr val="376092"/>
              </a:solidFill>
              <a:ln>
                <a:noFill/>
              </a:ln>
            </c:spPr>
            <c:extLst>
              <c:ext xmlns:c16="http://schemas.microsoft.com/office/drawing/2014/chart" uri="{C3380CC4-5D6E-409C-BE32-E72D297353CC}">
                <c16:uniqueId val="{00000006-764D-4560-A7CC-02CECBFBAAC0}"/>
              </c:ext>
            </c:extLst>
          </c:dPt>
          <c:dPt>
            <c:idx val="10"/>
            <c:invertIfNegative val="0"/>
            <c:bubble3D val="0"/>
            <c:spPr>
              <a:solidFill>
                <a:schemeClr val="bg1">
                  <a:lumMod val="75000"/>
                </a:schemeClr>
              </a:solidFill>
              <a:ln>
                <a:noFill/>
              </a:ln>
            </c:spPr>
            <c:extLst>
              <c:ext xmlns:c16="http://schemas.microsoft.com/office/drawing/2014/chart" uri="{C3380CC4-5D6E-409C-BE32-E72D297353CC}">
                <c16:uniqueId val="{00000008-764D-4560-A7CC-02CECBFBAAC0}"/>
              </c:ext>
            </c:extLst>
          </c:dPt>
          <c:dPt>
            <c:idx val="11"/>
            <c:invertIfNegative val="0"/>
            <c:bubble3D val="0"/>
            <c:spPr>
              <a:solidFill>
                <a:srgbClr val="BFBFBF"/>
              </a:solidFill>
              <a:ln>
                <a:noFill/>
              </a:ln>
            </c:spPr>
            <c:extLst>
              <c:ext xmlns:c16="http://schemas.microsoft.com/office/drawing/2014/chart" uri="{C3380CC4-5D6E-409C-BE32-E72D297353CC}">
                <c16:uniqueId val="{0000000A-764D-4560-A7CC-02CECBFBAAC0}"/>
              </c:ext>
            </c:extLst>
          </c:dPt>
          <c:dLbls>
            <c:dLbl>
              <c:idx val="4"/>
              <c:spPr/>
              <c:txPr>
                <a:bodyPr/>
                <a:lstStyle/>
                <a:p>
                  <a:pPr algn="ctr">
                    <a:defRPr/>
                  </a:pPr>
                  <a:endParaRPr lang="el-GR"/>
                </a:p>
              </c:txPr>
              <c:showLegendKey val="0"/>
              <c:showVal val="1"/>
              <c:showCatName val="0"/>
              <c:showSerName val="0"/>
              <c:showPercent val="0"/>
              <c:showBubbleSize val="0"/>
              <c:extLst>
                <c:ext xmlns:c16="http://schemas.microsoft.com/office/drawing/2014/chart" uri="{C3380CC4-5D6E-409C-BE32-E72D297353CC}">
                  <c16:uniqueId val="{0000000B-6B77-446C-ACA8-4D407E081B16}"/>
                </c:ext>
              </c:extLst>
            </c:dLbl>
            <c:dLbl>
              <c:idx val="5"/>
              <c:spPr/>
              <c:txPr>
                <a:bodyPr/>
                <a:lstStyle/>
                <a:p>
                  <a:pPr algn="ctr">
                    <a:defRPr/>
                  </a:pPr>
                  <a:endParaRPr lang="el-GR"/>
                </a:p>
              </c:txPr>
              <c:showLegendKey val="0"/>
              <c:showVal val="1"/>
              <c:showCatName val="0"/>
              <c:showSerName val="0"/>
              <c:showPercent val="0"/>
              <c:showBubbleSize val="0"/>
              <c:extLst>
                <c:ext xmlns:c16="http://schemas.microsoft.com/office/drawing/2014/chart" uri="{C3380CC4-5D6E-409C-BE32-E72D297353CC}">
                  <c16:uniqueId val="{00000004-764D-4560-A7CC-02CECBFBAAC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Φύλλο1!$A$2:$A$12</c:f>
              <c:strCache>
                <c:ptCount val="11"/>
                <c:pt idx="0">
                  <c:v>Έως 1.000</c:v>
                </c:pt>
                <c:pt idx="1">
                  <c:v>1.001-2.000</c:v>
                </c:pt>
                <c:pt idx="2">
                  <c:v>2.001-3.000</c:v>
                </c:pt>
                <c:pt idx="3">
                  <c:v>3.001-4.000</c:v>
                </c:pt>
                <c:pt idx="4">
                  <c:v>4.001-5.000</c:v>
                </c:pt>
                <c:pt idx="5">
                  <c:v>5.001-7.000</c:v>
                </c:pt>
                <c:pt idx="6">
                  <c:v>7.001-10.000</c:v>
                </c:pt>
                <c:pt idx="7">
                  <c:v>10.001-20.000</c:v>
                </c:pt>
                <c:pt idx="8">
                  <c:v>20.001-50.000</c:v>
                </c:pt>
                <c:pt idx="9">
                  <c:v>50.001 και άνω</c:v>
                </c:pt>
                <c:pt idx="10">
                  <c:v>ΔΑ</c:v>
                </c:pt>
              </c:strCache>
            </c:strRef>
          </c:cat>
          <c:val>
            <c:numRef>
              <c:f>Φύλλο1!$B$2:$B$12</c:f>
              <c:numCache>
                <c:formatCode>General</c:formatCode>
                <c:ptCount val="11"/>
                <c:pt idx="0">
                  <c:v>18.399999999999999</c:v>
                </c:pt>
                <c:pt idx="1">
                  <c:v>12.4</c:v>
                </c:pt>
                <c:pt idx="2">
                  <c:v>8</c:v>
                </c:pt>
                <c:pt idx="3">
                  <c:v>9.1999999999999993</c:v>
                </c:pt>
                <c:pt idx="4">
                  <c:v>6.1</c:v>
                </c:pt>
                <c:pt idx="5">
                  <c:v>5.3</c:v>
                </c:pt>
                <c:pt idx="6">
                  <c:v>8.8000000000000007</c:v>
                </c:pt>
                <c:pt idx="7">
                  <c:v>9</c:v>
                </c:pt>
                <c:pt idx="8">
                  <c:v>7.3</c:v>
                </c:pt>
                <c:pt idx="9">
                  <c:v>7.1</c:v>
                </c:pt>
                <c:pt idx="10">
                  <c:v>8.4</c:v>
                </c:pt>
              </c:numCache>
            </c:numRef>
          </c:val>
          <c:extLst>
            <c:ext xmlns:c16="http://schemas.microsoft.com/office/drawing/2014/chart" uri="{C3380CC4-5D6E-409C-BE32-E72D297353CC}">
              <c16:uniqueId val="{0000000C-764D-4560-A7CC-02CECBFBAAC0}"/>
            </c:ext>
          </c:extLst>
        </c:ser>
        <c:dLbls>
          <c:showLegendKey val="0"/>
          <c:showVal val="0"/>
          <c:showCatName val="0"/>
          <c:showSerName val="0"/>
          <c:showPercent val="0"/>
          <c:showBubbleSize val="0"/>
        </c:dLbls>
        <c:gapWidth val="72"/>
        <c:axId val="374542336"/>
        <c:axId val="374543872"/>
      </c:barChart>
      <c:catAx>
        <c:axId val="374542336"/>
        <c:scaling>
          <c:orientation val="maxMin"/>
        </c:scaling>
        <c:delete val="0"/>
        <c:axPos val="l"/>
        <c:numFmt formatCode="General" sourceLinked="0"/>
        <c:majorTickMark val="out"/>
        <c:minorTickMark val="none"/>
        <c:tickLblPos val="nextTo"/>
        <c:crossAx val="374543872"/>
        <c:crosses val="autoZero"/>
        <c:auto val="1"/>
        <c:lblAlgn val="ctr"/>
        <c:lblOffset val="100"/>
        <c:noMultiLvlLbl val="0"/>
      </c:catAx>
      <c:valAx>
        <c:axId val="374543872"/>
        <c:scaling>
          <c:orientation val="minMax"/>
        </c:scaling>
        <c:delete val="0"/>
        <c:axPos val="b"/>
        <c:numFmt formatCode="General" sourceLinked="1"/>
        <c:majorTickMark val="out"/>
        <c:minorTickMark val="none"/>
        <c:tickLblPos val="nextTo"/>
        <c:crossAx val="374542336"/>
        <c:crosses val="max"/>
        <c:crossBetween val="between"/>
      </c:valAx>
    </c:plotArea>
    <c:plotVisOnly val="1"/>
    <c:dispBlanksAs val="gap"/>
    <c:showDLblsOverMax val="0"/>
  </c:chart>
  <c:txPr>
    <a:bodyPr/>
    <a:lstStyle/>
    <a:p>
      <a:pPr>
        <a:defRPr sz="900">
          <a:latin typeface="Microsoft JhengHei UI" panose="020B0604030504040204" pitchFamily="34" charset="-120"/>
          <a:ea typeface="Microsoft JhengHei UI" panose="020B0604030504040204" pitchFamily="34" charset="-120"/>
        </a:defRPr>
      </a:pPr>
      <a:endParaRPr lang="el-GR"/>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125000000000001"/>
          <c:y val="0.14687500000000001"/>
          <c:w val="0.47534490826548548"/>
          <c:h val="0.64401547225940814"/>
        </c:manualLayout>
      </c:layout>
      <c:doughnutChart>
        <c:varyColors val="1"/>
        <c:ser>
          <c:idx val="0"/>
          <c:order val="0"/>
          <c:tx>
            <c:strRef>
              <c:f>Φύλλο1!$B$1</c:f>
              <c:strCache>
                <c:ptCount val="1"/>
                <c:pt idx="0">
                  <c:v>Column1</c:v>
                </c:pt>
              </c:strCache>
            </c:strRef>
          </c:tx>
          <c:spPr>
            <a:ln>
              <a:solidFill>
                <a:schemeClr val="bg1"/>
              </a:solidFill>
            </a:ln>
          </c:spPr>
          <c:dPt>
            <c:idx val="0"/>
            <c:bubble3D val="0"/>
            <c:spPr>
              <a:solidFill>
                <a:schemeClr val="accent3">
                  <a:lumMod val="50000"/>
                </a:schemeClr>
              </a:solidFill>
              <a:ln>
                <a:solidFill>
                  <a:schemeClr val="bg1"/>
                </a:solidFill>
              </a:ln>
            </c:spPr>
            <c:extLst>
              <c:ext xmlns:c16="http://schemas.microsoft.com/office/drawing/2014/chart" uri="{C3380CC4-5D6E-409C-BE32-E72D297353CC}">
                <c16:uniqueId val="{00000001-DED5-4995-9668-1CD889229235}"/>
              </c:ext>
            </c:extLst>
          </c:dPt>
          <c:dPt>
            <c:idx val="1"/>
            <c:bubble3D val="0"/>
            <c:spPr>
              <a:solidFill>
                <a:schemeClr val="accent3">
                  <a:lumMod val="75000"/>
                </a:schemeClr>
              </a:solidFill>
              <a:ln>
                <a:solidFill>
                  <a:schemeClr val="bg1"/>
                </a:solidFill>
              </a:ln>
            </c:spPr>
            <c:extLst>
              <c:ext xmlns:c16="http://schemas.microsoft.com/office/drawing/2014/chart" uri="{C3380CC4-5D6E-409C-BE32-E72D297353CC}">
                <c16:uniqueId val="{00000003-DED5-4995-9668-1CD889229235}"/>
              </c:ext>
            </c:extLst>
          </c:dPt>
          <c:dPt>
            <c:idx val="2"/>
            <c:bubble3D val="0"/>
            <c:spPr>
              <a:solidFill>
                <a:schemeClr val="accent2">
                  <a:lumMod val="60000"/>
                  <a:lumOff val="40000"/>
                </a:schemeClr>
              </a:solidFill>
              <a:ln>
                <a:solidFill>
                  <a:schemeClr val="bg1"/>
                </a:solidFill>
              </a:ln>
            </c:spPr>
            <c:extLst>
              <c:ext xmlns:c16="http://schemas.microsoft.com/office/drawing/2014/chart" uri="{C3380CC4-5D6E-409C-BE32-E72D297353CC}">
                <c16:uniqueId val="{00000005-DED5-4995-9668-1CD889229235}"/>
              </c:ext>
            </c:extLst>
          </c:dPt>
          <c:dPt>
            <c:idx val="3"/>
            <c:bubble3D val="0"/>
            <c:spPr>
              <a:solidFill>
                <a:schemeClr val="accent2">
                  <a:lumMod val="75000"/>
                </a:schemeClr>
              </a:solidFill>
              <a:ln>
                <a:solidFill>
                  <a:schemeClr val="bg1"/>
                </a:solidFill>
              </a:ln>
            </c:spPr>
            <c:extLst>
              <c:ext xmlns:c16="http://schemas.microsoft.com/office/drawing/2014/chart" uri="{C3380CC4-5D6E-409C-BE32-E72D297353CC}">
                <c16:uniqueId val="{00000007-DED5-4995-9668-1CD889229235}"/>
              </c:ext>
            </c:extLst>
          </c:dPt>
          <c:dPt>
            <c:idx val="4"/>
            <c:bubble3D val="0"/>
            <c:spPr>
              <a:solidFill>
                <a:schemeClr val="tx1">
                  <a:lumMod val="50000"/>
                  <a:lumOff val="50000"/>
                </a:schemeClr>
              </a:solidFill>
              <a:ln>
                <a:solidFill>
                  <a:schemeClr val="bg1"/>
                </a:solidFill>
              </a:ln>
            </c:spPr>
            <c:extLst>
              <c:ext xmlns:c16="http://schemas.microsoft.com/office/drawing/2014/chart" uri="{C3380CC4-5D6E-409C-BE32-E72D297353CC}">
                <c16:uniqueId val="{00000009-DED5-4995-9668-1CD889229235}"/>
              </c:ext>
            </c:extLst>
          </c:dPt>
          <c:dLbls>
            <c:dLbl>
              <c:idx val="0"/>
              <c:layout>
                <c:manualLayout>
                  <c:x val="5.7973069148368493E-2"/>
                  <c:y val="-0.12160982852948084"/>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DED5-4995-9668-1CD889229235}"/>
                </c:ext>
              </c:extLst>
            </c:dLbl>
            <c:dLbl>
              <c:idx val="1"/>
              <c:layout>
                <c:manualLayout>
                  <c:x val="0.11037173859918055"/>
                  <c:y val="-4.1277444177044632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DED5-4995-9668-1CD889229235}"/>
                </c:ext>
              </c:extLst>
            </c:dLbl>
            <c:dLbl>
              <c:idx val="2"/>
              <c:layout>
                <c:manualLayout>
                  <c:x val="8.6284899091362069E-2"/>
                  <c:y val="0.1438662897108188"/>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DED5-4995-9668-1CD889229235}"/>
                </c:ext>
              </c:extLst>
            </c:dLbl>
            <c:dLbl>
              <c:idx val="3"/>
              <c:layout>
                <c:manualLayout>
                  <c:x val="-8.3414263362182509E-2"/>
                  <c:y val="-0.12055616564249944"/>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DED5-4995-9668-1CD889229235}"/>
                </c:ext>
              </c:extLst>
            </c:dLbl>
            <c:dLbl>
              <c:idx val="4"/>
              <c:layout>
                <c:manualLayout>
                  <c:x val="-1.2500023681164386E-2"/>
                  <c:y val="-0.14117688076204565"/>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DED5-4995-9668-1CD889229235}"/>
                </c:ext>
              </c:extLst>
            </c:dLbl>
            <c:spPr>
              <a:noFill/>
              <a:ln>
                <a:noFill/>
              </a:ln>
              <a:effectLst/>
            </c:spPr>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Φύλλο1!$A$2:$A$6</c:f>
              <c:strCache>
                <c:ptCount val="5"/>
                <c:pt idx="0">
                  <c:v>Ναι</c:v>
                </c:pt>
                <c:pt idx="1">
                  <c:v>Μάλλον ναι</c:v>
                </c:pt>
                <c:pt idx="2">
                  <c:v>Μάλλον όχι</c:v>
                </c:pt>
                <c:pt idx="3">
                  <c:v>Όχι</c:v>
                </c:pt>
                <c:pt idx="4">
                  <c:v>ΔΑ</c:v>
                </c:pt>
              </c:strCache>
            </c:strRef>
          </c:cat>
          <c:val>
            <c:numRef>
              <c:f>Φύλλο1!$B$2:$B$6</c:f>
              <c:numCache>
                <c:formatCode>General</c:formatCode>
                <c:ptCount val="5"/>
                <c:pt idx="0">
                  <c:v>20.2</c:v>
                </c:pt>
                <c:pt idx="1">
                  <c:v>18.399999999999999</c:v>
                </c:pt>
                <c:pt idx="2">
                  <c:v>11</c:v>
                </c:pt>
                <c:pt idx="3">
                  <c:v>48</c:v>
                </c:pt>
                <c:pt idx="4">
                  <c:v>2.4</c:v>
                </c:pt>
              </c:numCache>
            </c:numRef>
          </c:val>
          <c:extLst>
            <c:ext xmlns:c16="http://schemas.microsoft.com/office/drawing/2014/chart" uri="{C3380CC4-5D6E-409C-BE32-E72D297353CC}">
              <c16:uniqueId val="{0000000A-DED5-4995-9668-1CD889229235}"/>
            </c:ext>
          </c:extLst>
        </c:ser>
        <c:dLbls>
          <c:showLegendKey val="0"/>
          <c:showVal val="0"/>
          <c:showCatName val="0"/>
          <c:showSerName val="0"/>
          <c:showPercent val="0"/>
          <c:showBubbleSize val="0"/>
          <c:showLeaderLines val="0"/>
        </c:dLbls>
        <c:firstSliceAng val="0"/>
        <c:holeSize val="50"/>
      </c:doughnutChart>
    </c:plotArea>
    <c:plotVisOnly val="1"/>
    <c:dispBlanksAs val="zero"/>
    <c:showDLblsOverMax val="0"/>
  </c:chart>
  <c:txPr>
    <a:bodyPr/>
    <a:lstStyle/>
    <a:p>
      <a:pPr>
        <a:defRPr sz="900">
          <a:latin typeface="Microsoft JhengHei UI" panose="020B0604030504040204" pitchFamily="34" charset="-120"/>
          <a:ea typeface="Microsoft JhengHei UI" panose="020B0604030504040204" pitchFamily="34" charset="-120"/>
        </a:defRPr>
      </a:pPr>
      <a:endParaRPr lang="el-GR"/>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027537129444247"/>
          <c:y val="4.6907516080302844E-2"/>
          <c:w val="0.69424545814846406"/>
          <c:h val="0.84778370396655767"/>
        </c:manualLayout>
      </c:layout>
      <c:barChart>
        <c:barDir val="bar"/>
        <c:grouping val="clustered"/>
        <c:varyColors val="0"/>
        <c:ser>
          <c:idx val="0"/>
          <c:order val="0"/>
          <c:tx>
            <c:strRef>
              <c:f>Φύλλο1!$B$1</c:f>
              <c:strCache>
                <c:ptCount val="1"/>
                <c:pt idx="0">
                  <c:v>Σειρά 1</c:v>
                </c:pt>
              </c:strCache>
            </c:strRef>
          </c:tx>
          <c:spPr>
            <a:solidFill>
              <a:schemeClr val="accent1">
                <a:lumMod val="75000"/>
              </a:schemeClr>
            </a:solidFill>
            <a:ln>
              <a:noFill/>
            </a:ln>
          </c:spPr>
          <c:invertIfNegative val="0"/>
          <c:dPt>
            <c:idx val="0"/>
            <c:invertIfNegative val="0"/>
            <c:bubble3D val="0"/>
            <c:extLst>
              <c:ext xmlns:c16="http://schemas.microsoft.com/office/drawing/2014/chart" uri="{C3380CC4-5D6E-409C-BE32-E72D297353CC}">
                <c16:uniqueId val="{00000000-FDCD-43C9-A886-67775E9B199E}"/>
              </c:ext>
            </c:extLst>
          </c:dPt>
          <c:dPt>
            <c:idx val="1"/>
            <c:invertIfNegative val="0"/>
            <c:bubble3D val="0"/>
            <c:extLst>
              <c:ext xmlns:c16="http://schemas.microsoft.com/office/drawing/2014/chart" uri="{C3380CC4-5D6E-409C-BE32-E72D297353CC}">
                <c16:uniqueId val="{00000001-FDCD-43C9-A886-67775E9B199E}"/>
              </c:ext>
            </c:extLst>
          </c:dPt>
          <c:dPt>
            <c:idx val="2"/>
            <c:invertIfNegative val="0"/>
            <c:bubble3D val="0"/>
            <c:extLst>
              <c:ext xmlns:c16="http://schemas.microsoft.com/office/drawing/2014/chart" uri="{C3380CC4-5D6E-409C-BE32-E72D297353CC}">
                <c16:uniqueId val="{00000002-FDCD-43C9-A886-67775E9B199E}"/>
              </c:ext>
            </c:extLst>
          </c:dPt>
          <c:dPt>
            <c:idx val="3"/>
            <c:invertIfNegative val="0"/>
            <c:bubble3D val="0"/>
            <c:extLst>
              <c:ext xmlns:c16="http://schemas.microsoft.com/office/drawing/2014/chart" uri="{C3380CC4-5D6E-409C-BE32-E72D297353CC}">
                <c16:uniqueId val="{00000003-FDCD-43C9-A886-67775E9B199E}"/>
              </c:ext>
            </c:extLst>
          </c:dPt>
          <c:dPt>
            <c:idx val="5"/>
            <c:invertIfNegative val="0"/>
            <c:bubble3D val="0"/>
            <c:extLst>
              <c:ext xmlns:c16="http://schemas.microsoft.com/office/drawing/2014/chart" uri="{C3380CC4-5D6E-409C-BE32-E72D297353CC}">
                <c16:uniqueId val="{00000004-FDCD-43C9-A886-67775E9B199E}"/>
              </c:ext>
            </c:extLst>
          </c:dPt>
          <c:dPt>
            <c:idx val="9"/>
            <c:invertIfNegative val="0"/>
            <c:bubble3D val="0"/>
            <c:spPr>
              <a:solidFill>
                <a:srgbClr val="376092"/>
              </a:solidFill>
              <a:ln>
                <a:noFill/>
              </a:ln>
            </c:spPr>
            <c:extLst>
              <c:ext xmlns:c16="http://schemas.microsoft.com/office/drawing/2014/chart" uri="{C3380CC4-5D6E-409C-BE32-E72D297353CC}">
                <c16:uniqueId val="{00000006-FDCD-43C9-A886-67775E9B199E}"/>
              </c:ext>
            </c:extLst>
          </c:dPt>
          <c:dPt>
            <c:idx val="10"/>
            <c:invertIfNegative val="0"/>
            <c:bubble3D val="0"/>
            <c:spPr>
              <a:solidFill>
                <a:schemeClr val="bg1">
                  <a:lumMod val="75000"/>
                </a:schemeClr>
              </a:solidFill>
              <a:ln>
                <a:noFill/>
              </a:ln>
            </c:spPr>
            <c:extLst>
              <c:ext xmlns:c16="http://schemas.microsoft.com/office/drawing/2014/chart" uri="{C3380CC4-5D6E-409C-BE32-E72D297353CC}">
                <c16:uniqueId val="{00000008-FDCD-43C9-A886-67775E9B199E}"/>
              </c:ext>
            </c:extLst>
          </c:dPt>
          <c:dPt>
            <c:idx val="11"/>
            <c:invertIfNegative val="0"/>
            <c:bubble3D val="0"/>
            <c:spPr>
              <a:solidFill>
                <a:srgbClr val="BFBFBF"/>
              </a:solidFill>
              <a:ln>
                <a:noFill/>
              </a:ln>
            </c:spPr>
            <c:extLst>
              <c:ext xmlns:c16="http://schemas.microsoft.com/office/drawing/2014/chart" uri="{C3380CC4-5D6E-409C-BE32-E72D297353CC}">
                <c16:uniqueId val="{0000000A-FDCD-43C9-A886-67775E9B199E}"/>
              </c:ext>
            </c:extLst>
          </c:dPt>
          <c:dLbls>
            <c:dLbl>
              <c:idx val="4"/>
              <c:spPr/>
              <c:txPr>
                <a:bodyPr/>
                <a:lstStyle/>
                <a:p>
                  <a:pPr algn="ctr">
                    <a:defRPr/>
                  </a:pPr>
                  <a:endParaRPr lang="el-GR"/>
                </a:p>
              </c:txPr>
              <c:showLegendKey val="0"/>
              <c:showVal val="1"/>
              <c:showCatName val="0"/>
              <c:showSerName val="0"/>
              <c:showPercent val="0"/>
              <c:showBubbleSize val="0"/>
              <c:extLst>
                <c:ext xmlns:c16="http://schemas.microsoft.com/office/drawing/2014/chart" uri="{C3380CC4-5D6E-409C-BE32-E72D297353CC}">
                  <c16:uniqueId val="{0000000B-DCCF-4F00-9C39-322A13F572D9}"/>
                </c:ext>
              </c:extLst>
            </c:dLbl>
            <c:dLbl>
              <c:idx val="5"/>
              <c:spPr/>
              <c:txPr>
                <a:bodyPr/>
                <a:lstStyle/>
                <a:p>
                  <a:pPr algn="ctr">
                    <a:defRPr/>
                  </a:pPr>
                  <a:endParaRPr lang="el-GR"/>
                </a:p>
              </c:txPr>
              <c:showLegendKey val="0"/>
              <c:showVal val="1"/>
              <c:showCatName val="0"/>
              <c:showSerName val="0"/>
              <c:showPercent val="0"/>
              <c:showBubbleSize val="0"/>
              <c:extLst>
                <c:ext xmlns:c16="http://schemas.microsoft.com/office/drawing/2014/chart" uri="{C3380CC4-5D6E-409C-BE32-E72D297353CC}">
                  <c16:uniqueId val="{00000004-FDCD-43C9-A886-67775E9B199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Φύλλο1!$A$2:$A$12</c:f>
              <c:strCache>
                <c:ptCount val="11"/>
                <c:pt idx="0">
                  <c:v>Έως 1.000</c:v>
                </c:pt>
                <c:pt idx="1">
                  <c:v>1.001-2.000</c:v>
                </c:pt>
                <c:pt idx="2">
                  <c:v>2.001-3.000</c:v>
                </c:pt>
                <c:pt idx="3">
                  <c:v>3.001-4.000</c:v>
                </c:pt>
                <c:pt idx="4">
                  <c:v>4.001-5.000</c:v>
                </c:pt>
                <c:pt idx="5">
                  <c:v>5.001-7.000</c:v>
                </c:pt>
                <c:pt idx="6">
                  <c:v>7.001-10.000</c:v>
                </c:pt>
                <c:pt idx="7">
                  <c:v>10.001-20.000</c:v>
                </c:pt>
                <c:pt idx="8">
                  <c:v>20.001-50.000</c:v>
                </c:pt>
                <c:pt idx="9">
                  <c:v>50.001 και άνω</c:v>
                </c:pt>
                <c:pt idx="10">
                  <c:v>ΔΑ</c:v>
                </c:pt>
              </c:strCache>
            </c:strRef>
          </c:cat>
          <c:val>
            <c:numRef>
              <c:f>Φύλλο1!$B$2:$B$12</c:f>
              <c:numCache>
                <c:formatCode>General</c:formatCode>
                <c:ptCount val="11"/>
                <c:pt idx="0">
                  <c:v>24.3</c:v>
                </c:pt>
                <c:pt idx="1">
                  <c:v>16.3</c:v>
                </c:pt>
                <c:pt idx="2">
                  <c:v>9.6</c:v>
                </c:pt>
                <c:pt idx="3">
                  <c:v>10</c:v>
                </c:pt>
                <c:pt idx="4">
                  <c:v>5.3</c:v>
                </c:pt>
                <c:pt idx="5">
                  <c:v>6</c:v>
                </c:pt>
                <c:pt idx="6">
                  <c:v>9</c:v>
                </c:pt>
                <c:pt idx="7">
                  <c:v>6.6</c:v>
                </c:pt>
                <c:pt idx="8">
                  <c:v>6</c:v>
                </c:pt>
                <c:pt idx="9">
                  <c:v>2</c:v>
                </c:pt>
                <c:pt idx="10">
                  <c:v>5</c:v>
                </c:pt>
              </c:numCache>
            </c:numRef>
          </c:val>
          <c:extLst>
            <c:ext xmlns:c16="http://schemas.microsoft.com/office/drawing/2014/chart" uri="{C3380CC4-5D6E-409C-BE32-E72D297353CC}">
              <c16:uniqueId val="{0000000C-FDCD-43C9-A886-67775E9B199E}"/>
            </c:ext>
          </c:extLst>
        </c:ser>
        <c:dLbls>
          <c:showLegendKey val="0"/>
          <c:showVal val="0"/>
          <c:showCatName val="0"/>
          <c:showSerName val="0"/>
          <c:showPercent val="0"/>
          <c:showBubbleSize val="0"/>
        </c:dLbls>
        <c:gapWidth val="72"/>
        <c:axId val="374688768"/>
        <c:axId val="374694656"/>
      </c:barChart>
      <c:catAx>
        <c:axId val="374688768"/>
        <c:scaling>
          <c:orientation val="maxMin"/>
        </c:scaling>
        <c:delete val="0"/>
        <c:axPos val="l"/>
        <c:numFmt formatCode="General" sourceLinked="0"/>
        <c:majorTickMark val="out"/>
        <c:minorTickMark val="none"/>
        <c:tickLblPos val="nextTo"/>
        <c:crossAx val="374694656"/>
        <c:crosses val="autoZero"/>
        <c:auto val="1"/>
        <c:lblAlgn val="ctr"/>
        <c:lblOffset val="100"/>
        <c:noMultiLvlLbl val="0"/>
      </c:catAx>
      <c:valAx>
        <c:axId val="374694656"/>
        <c:scaling>
          <c:orientation val="minMax"/>
        </c:scaling>
        <c:delete val="0"/>
        <c:axPos val="b"/>
        <c:numFmt formatCode="General" sourceLinked="1"/>
        <c:majorTickMark val="out"/>
        <c:minorTickMark val="none"/>
        <c:tickLblPos val="nextTo"/>
        <c:crossAx val="374688768"/>
        <c:crosses val="max"/>
        <c:crossBetween val="between"/>
      </c:valAx>
    </c:plotArea>
    <c:plotVisOnly val="1"/>
    <c:dispBlanksAs val="gap"/>
    <c:showDLblsOverMax val="0"/>
  </c:chart>
  <c:txPr>
    <a:bodyPr/>
    <a:lstStyle/>
    <a:p>
      <a:pPr>
        <a:defRPr sz="900">
          <a:latin typeface="Microsoft JhengHei UI" panose="020B0604030504040204" pitchFamily="34" charset="-120"/>
          <a:ea typeface="Microsoft JhengHei UI" panose="020B0604030504040204" pitchFamily="34" charset="-120"/>
        </a:defRPr>
      </a:pPr>
      <a:endParaRPr lang="el-GR"/>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027537129444247"/>
          <c:y val="4.6907516080302844E-2"/>
          <c:w val="0.69424545814846406"/>
          <c:h val="0.84778370396655767"/>
        </c:manualLayout>
      </c:layout>
      <c:barChart>
        <c:barDir val="bar"/>
        <c:grouping val="clustered"/>
        <c:varyColors val="0"/>
        <c:ser>
          <c:idx val="0"/>
          <c:order val="0"/>
          <c:tx>
            <c:strRef>
              <c:f>Φύλλο1!$B$1</c:f>
              <c:strCache>
                <c:ptCount val="1"/>
                <c:pt idx="0">
                  <c:v>Σειρά 1</c:v>
                </c:pt>
              </c:strCache>
            </c:strRef>
          </c:tx>
          <c:spPr>
            <a:solidFill>
              <a:schemeClr val="accent1">
                <a:lumMod val="75000"/>
              </a:schemeClr>
            </a:solidFill>
            <a:ln>
              <a:noFill/>
            </a:ln>
          </c:spPr>
          <c:invertIfNegative val="0"/>
          <c:dPt>
            <c:idx val="0"/>
            <c:invertIfNegative val="0"/>
            <c:bubble3D val="0"/>
            <c:extLst>
              <c:ext xmlns:c16="http://schemas.microsoft.com/office/drawing/2014/chart" uri="{C3380CC4-5D6E-409C-BE32-E72D297353CC}">
                <c16:uniqueId val="{00000000-2208-4DB2-9088-868661361482}"/>
              </c:ext>
            </c:extLst>
          </c:dPt>
          <c:dPt>
            <c:idx val="1"/>
            <c:invertIfNegative val="0"/>
            <c:bubble3D val="0"/>
            <c:extLst>
              <c:ext xmlns:c16="http://schemas.microsoft.com/office/drawing/2014/chart" uri="{C3380CC4-5D6E-409C-BE32-E72D297353CC}">
                <c16:uniqueId val="{00000001-2208-4DB2-9088-868661361482}"/>
              </c:ext>
            </c:extLst>
          </c:dPt>
          <c:dPt>
            <c:idx val="2"/>
            <c:invertIfNegative val="0"/>
            <c:bubble3D val="0"/>
            <c:extLst>
              <c:ext xmlns:c16="http://schemas.microsoft.com/office/drawing/2014/chart" uri="{C3380CC4-5D6E-409C-BE32-E72D297353CC}">
                <c16:uniqueId val="{00000002-2208-4DB2-9088-868661361482}"/>
              </c:ext>
            </c:extLst>
          </c:dPt>
          <c:dPt>
            <c:idx val="3"/>
            <c:invertIfNegative val="0"/>
            <c:bubble3D val="0"/>
            <c:extLst>
              <c:ext xmlns:c16="http://schemas.microsoft.com/office/drawing/2014/chart" uri="{C3380CC4-5D6E-409C-BE32-E72D297353CC}">
                <c16:uniqueId val="{00000003-2208-4DB2-9088-868661361482}"/>
              </c:ext>
            </c:extLst>
          </c:dPt>
          <c:dPt>
            <c:idx val="5"/>
            <c:invertIfNegative val="0"/>
            <c:bubble3D val="0"/>
            <c:extLst>
              <c:ext xmlns:c16="http://schemas.microsoft.com/office/drawing/2014/chart" uri="{C3380CC4-5D6E-409C-BE32-E72D297353CC}">
                <c16:uniqueId val="{00000004-2208-4DB2-9088-868661361482}"/>
              </c:ext>
            </c:extLst>
          </c:dPt>
          <c:dPt>
            <c:idx val="8"/>
            <c:invertIfNegative val="0"/>
            <c:bubble3D val="0"/>
            <c:spPr>
              <a:solidFill>
                <a:schemeClr val="bg1">
                  <a:lumMod val="65000"/>
                </a:schemeClr>
              </a:solidFill>
              <a:ln>
                <a:noFill/>
              </a:ln>
            </c:spPr>
            <c:extLst>
              <c:ext xmlns:c16="http://schemas.microsoft.com/office/drawing/2014/chart" uri="{C3380CC4-5D6E-409C-BE32-E72D297353CC}">
                <c16:uniqueId val="{00000006-2208-4DB2-9088-868661361482}"/>
              </c:ext>
            </c:extLst>
          </c:dPt>
          <c:dPt>
            <c:idx val="9"/>
            <c:invertIfNegative val="0"/>
            <c:bubble3D val="0"/>
            <c:spPr>
              <a:solidFill>
                <a:srgbClr val="376092"/>
              </a:solidFill>
              <a:ln>
                <a:noFill/>
              </a:ln>
            </c:spPr>
            <c:extLst>
              <c:ext xmlns:c16="http://schemas.microsoft.com/office/drawing/2014/chart" uri="{C3380CC4-5D6E-409C-BE32-E72D297353CC}">
                <c16:uniqueId val="{00000008-2208-4DB2-9088-868661361482}"/>
              </c:ext>
            </c:extLst>
          </c:dPt>
          <c:dPt>
            <c:idx val="10"/>
            <c:invertIfNegative val="0"/>
            <c:bubble3D val="0"/>
            <c:spPr>
              <a:solidFill>
                <a:schemeClr val="bg1">
                  <a:lumMod val="75000"/>
                </a:schemeClr>
              </a:solidFill>
              <a:ln>
                <a:noFill/>
              </a:ln>
            </c:spPr>
            <c:extLst>
              <c:ext xmlns:c16="http://schemas.microsoft.com/office/drawing/2014/chart" uri="{C3380CC4-5D6E-409C-BE32-E72D297353CC}">
                <c16:uniqueId val="{0000000A-2208-4DB2-9088-868661361482}"/>
              </c:ext>
            </c:extLst>
          </c:dPt>
          <c:dPt>
            <c:idx val="11"/>
            <c:invertIfNegative val="0"/>
            <c:bubble3D val="0"/>
            <c:spPr>
              <a:solidFill>
                <a:srgbClr val="BFBFBF"/>
              </a:solidFill>
              <a:ln>
                <a:noFill/>
              </a:ln>
            </c:spPr>
            <c:extLst>
              <c:ext xmlns:c16="http://schemas.microsoft.com/office/drawing/2014/chart" uri="{C3380CC4-5D6E-409C-BE32-E72D297353CC}">
                <c16:uniqueId val="{0000000C-2208-4DB2-9088-868661361482}"/>
              </c:ext>
            </c:extLst>
          </c:dPt>
          <c:dLbls>
            <c:dLbl>
              <c:idx val="4"/>
              <c:spPr/>
              <c:txPr>
                <a:bodyPr/>
                <a:lstStyle/>
                <a:p>
                  <a:pPr algn="ctr">
                    <a:defRPr/>
                  </a:pPr>
                  <a:endParaRPr lang="el-GR"/>
                </a:p>
              </c:txPr>
              <c:showLegendKey val="0"/>
              <c:showVal val="1"/>
              <c:showCatName val="0"/>
              <c:showSerName val="0"/>
              <c:showPercent val="0"/>
              <c:showBubbleSize val="0"/>
              <c:extLst>
                <c:ext xmlns:c16="http://schemas.microsoft.com/office/drawing/2014/chart" uri="{C3380CC4-5D6E-409C-BE32-E72D297353CC}">
                  <c16:uniqueId val="{0000000D-E8FB-48E2-BC71-CF73404F3470}"/>
                </c:ext>
              </c:extLst>
            </c:dLbl>
            <c:dLbl>
              <c:idx val="5"/>
              <c:spPr/>
              <c:txPr>
                <a:bodyPr/>
                <a:lstStyle/>
                <a:p>
                  <a:pPr algn="ctr">
                    <a:defRPr/>
                  </a:pPr>
                  <a:endParaRPr lang="el-GR"/>
                </a:p>
              </c:txPr>
              <c:showLegendKey val="0"/>
              <c:showVal val="1"/>
              <c:showCatName val="0"/>
              <c:showSerName val="0"/>
              <c:showPercent val="0"/>
              <c:showBubbleSize val="0"/>
              <c:extLst>
                <c:ext xmlns:c16="http://schemas.microsoft.com/office/drawing/2014/chart" uri="{C3380CC4-5D6E-409C-BE32-E72D297353CC}">
                  <c16:uniqueId val="{00000004-2208-4DB2-9088-86866136148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Φύλλο1!$A$2:$A$10</c:f>
              <c:strCache>
                <c:ptCount val="9"/>
                <c:pt idx="0">
                  <c:v>Έως 2.500</c:v>
                </c:pt>
                <c:pt idx="1">
                  <c:v>2.501-5.000</c:v>
                </c:pt>
                <c:pt idx="2">
                  <c:v>5.001- 10.000</c:v>
                </c:pt>
                <c:pt idx="3">
                  <c:v>10.001-20.000</c:v>
                </c:pt>
                <c:pt idx="4">
                  <c:v>20.001-30.000</c:v>
                </c:pt>
                <c:pt idx="5">
                  <c:v>30.001-50.000</c:v>
                </c:pt>
                <c:pt idx="6">
                  <c:v>50.001-100.000</c:v>
                </c:pt>
                <c:pt idx="7">
                  <c:v>&gt;100.000</c:v>
                </c:pt>
                <c:pt idx="8">
                  <c:v>ΔΓ/ΔΑ</c:v>
                </c:pt>
              </c:strCache>
            </c:strRef>
          </c:cat>
          <c:val>
            <c:numRef>
              <c:f>Φύλλο1!$B$2:$B$10</c:f>
              <c:numCache>
                <c:formatCode>General</c:formatCode>
                <c:ptCount val="9"/>
                <c:pt idx="0">
                  <c:v>8</c:v>
                </c:pt>
                <c:pt idx="1">
                  <c:v>21.3</c:v>
                </c:pt>
                <c:pt idx="2">
                  <c:v>21</c:v>
                </c:pt>
                <c:pt idx="3">
                  <c:v>17</c:v>
                </c:pt>
                <c:pt idx="4">
                  <c:v>10.7</c:v>
                </c:pt>
                <c:pt idx="5">
                  <c:v>5.7</c:v>
                </c:pt>
                <c:pt idx="6">
                  <c:v>5</c:v>
                </c:pt>
                <c:pt idx="7">
                  <c:v>4.3</c:v>
                </c:pt>
                <c:pt idx="8">
                  <c:v>7</c:v>
                </c:pt>
              </c:numCache>
            </c:numRef>
          </c:val>
          <c:extLst>
            <c:ext xmlns:c16="http://schemas.microsoft.com/office/drawing/2014/chart" uri="{C3380CC4-5D6E-409C-BE32-E72D297353CC}">
              <c16:uniqueId val="{0000000E-2208-4DB2-9088-868661361482}"/>
            </c:ext>
          </c:extLst>
        </c:ser>
        <c:dLbls>
          <c:showLegendKey val="0"/>
          <c:showVal val="0"/>
          <c:showCatName val="0"/>
          <c:showSerName val="0"/>
          <c:showPercent val="0"/>
          <c:showBubbleSize val="0"/>
        </c:dLbls>
        <c:gapWidth val="72"/>
        <c:axId val="374815744"/>
        <c:axId val="374817536"/>
      </c:barChart>
      <c:catAx>
        <c:axId val="374815744"/>
        <c:scaling>
          <c:orientation val="maxMin"/>
        </c:scaling>
        <c:delete val="0"/>
        <c:axPos val="l"/>
        <c:numFmt formatCode="General" sourceLinked="0"/>
        <c:majorTickMark val="out"/>
        <c:minorTickMark val="none"/>
        <c:tickLblPos val="nextTo"/>
        <c:crossAx val="374817536"/>
        <c:crosses val="autoZero"/>
        <c:auto val="1"/>
        <c:lblAlgn val="ctr"/>
        <c:lblOffset val="100"/>
        <c:noMultiLvlLbl val="0"/>
      </c:catAx>
      <c:valAx>
        <c:axId val="374817536"/>
        <c:scaling>
          <c:orientation val="minMax"/>
        </c:scaling>
        <c:delete val="0"/>
        <c:axPos val="b"/>
        <c:numFmt formatCode="General" sourceLinked="1"/>
        <c:majorTickMark val="out"/>
        <c:minorTickMark val="none"/>
        <c:tickLblPos val="nextTo"/>
        <c:crossAx val="374815744"/>
        <c:crosses val="max"/>
        <c:crossBetween val="between"/>
      </c:valAx>
    </c:plotArea>
    <c:plotVisOnly val="1"/>
    <c:dispBlanksAs val="gap"/>
    <c:showDLblsOverMax val="0"/>
  </c:chart>
  <c:txPr>
    <a:bodyPr/>
    <a:lstStyle/>
    <a:p>
      <a:pPr>
        <a:defRPr sz="900">
          <a:latin typeface="Microsoft JhengHei UI" panose="020B0604030504040204" pitchFamily="34" charset="-120"/>
          <a:ea typeface="Microsoft JhengHei UI" panose="020B0604030504040204" pitchFamily="34" charset="-120"/>
        </a:defRPr>
      </a:pPr>
      <a:endParaRPr lang="el-G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187875895674859"/>
          <c:y val="0.1449362685210768"/>
          <c:w val="0.56675340644214434"/>
          <c:h val="0.7404641677976711"/>
        </c:manualLayout>
      </c:layout>
      <c:doughnutChart>
        <c:varyColors val="1"/>
        <c:ser>
          <c:idx val="0"/>
          <c:order val="0"/>
          <c:spPr>
            <a:ln w="12700">
              <a:solidFill>
                <a:schemeClr val="bg1"/>
              </a:solidFill>
            </a:ln>
            <a:effectLst/>
          </c:spPr>
          <c:dPt>
            <c:idx val="0"/>
            <c:bubble3D val="0"/>
            <c:spPr>
              <a:solidFill>
                <a:schemeClr val="accent3"/>
              </a:solidFill>
              <a:ln w="12700">
                <a:solidFill>
                  <a:schemeClr val="bg1"/>
                </a:solidFill>
              </a:ln>
              <a:effectLst/>
            </c:spPr>
            <c:extLst>
              <c:ext xmlns:c16="http://schemas.microsoft.com/office/drawing/2014/chart" uri="{C3380CC4-5D6E-409C-BE32-E72D297353CC}">
                <c16:uniqueId val="{00000001-A99B-4C1B-A2A5-52CD56DED197}"/>
              </c:ext>
            </c:extLst>
          </c:dPt>
          <c:dPt>
            <c:idx val="1"/>
            <c:bubble3D val="0"/>
            <c:spPr>
              <a:solidFill>
                <a:schemeClr val="accent2"/>
              </a:solidFill>
              <a:ln w="12700">
                <a:solidFill>
                  <a:schemeClr val="bg1"/>
                </a:solidFill>
              </a:ln>
              <a:effectLst/>
            </c:spPr>
            <c:extLst>
              <c:ext xmlns:c16="http://schemas.microsoft.com/office/drawing/2014/chart" uri="{C3380CC4-5D6E-409C-BE32-E72D297353CC}">
                <c16:uniqueId val="{00000003-A99B-4C1B-A2A5-52CD56DED197}"/>
              </c:ext>
            </c:extLst>
          </c:dPt>
          <c:dPt>
            <c:idx val="2"/>
            <c:bubble3D val="0"/>
            <c:spPr>
              <a:solidFill>
                <a:srgbClr val="4F81BD"/>
              </a:solidFill>
              <a:ln w="12700">
                <a:solidFill>
                  <a:schemeClr val="bg1"/>
                </a:solidFill>
              </a:ln>
              <a:effectLst/>
            </c:spPr>
            <c:extLst>
              <c:ext xmlns:c16="http://schemas.microsoft.com/office/drawing/2014/chart" uri="{C3380CC4-5D6E-409C-BE32-E72D297353CC}">
                <c16:uniqueId val="{00000005-A99B-4C1B-A2A5-52CD56DED197}"/>
              </c:ext>
            </c:extLst>
          </c:dPt>
          <c:dPt>
            <c:idx val="3"/>
            <c:bubble3D val="0"/>
            <c:spPr>
              <a:solidFill>
                <a:schemeClr val="bg1">
                  <a:lumMod val="65000"/>
                </a:schemeClr>
              </a:solidFill>
              <a:ln w="12700">
                <a:solidFill>
                  <a:schemeClr val="bg1"/>
                </a:solidFill>
              </a:ln>
              <a:effectLst/>
            </c:spPr>
            <c:extLst>
              <c:ext xmlns:c16="http://schemas.microsoft.com/office/drawing/2014/chart" uri="{C3380CC4-5D6E-409C-BE32-E72D297353CC}">
                <c16:uniqueId val="{00000007-A99B-4C1B-A2A5-52CD56DED197}"/>
              </c:ext>
            </c:extLst>
          </c:dPt>
          <c:dLbls>
            <c:dLbl>
              <c:idx val="0"/>
              <c:layout>
                <c:manualLayout>
                  <c:x val="3.9116831013611381E-2"/>
                  <c:y val="-0.1547580420445847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99B-4C1B-A2A5-52CD56DED197}"/>
                </c:ext>
              </c:extLst>
            </c:dLbl>
            <c:dLbl>
              <c:idx val="1"/>
              <c:layout>
                <c:manualLayout>
                  <c:x val="-5.3078985152094924E-3"/>
                  <c:y val="0.1730341925540566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99B-4C1B-A2A5-52CD56DED197}"/>
                </c:ext>
              </c:extLst>
            </c:dLbl>
            <c:dLbl>
              <c:idx val="2"/>
              <c:layout>
                <c:manualLayout>
                  <c:x val="-0.10842791675859229"/>
                  <c:y val="-0.147346576154970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99B-4C1B-A2A5-52CD56DED197}"/>
                </c:ext>
              </c:extLst>
            </c:dLbl>
            <c:dLbl>
              <c:idx val="3"/>
              <c:delete val="1"/>
              <c:extLst>
                <c:ext xmlns:c15="http://schemas.microsoft.com/office/drawing/2012/chart" uri="{CE6537A1-D6FC-4f65-9D91-7224C49458BB}"/>
                <c:ext xmlns:c16="http://schemas.microsoft.com/office/drawing/2014/chart" uri="{C3380CC4-5D6E-409C-BE32-E72D297353CC}">
                  <c16:uniqueId val="{00000007-A99B-4C1B-A2A5-52CD56DED19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icrosoft JhengHei UI" panose="020B0604030504040204" pitchFamily="34" charset="-120"/>
                    <a:ea typeface="Microsoft JhengHei UI" panose="020B0604030504040204" pitchFamily="34" charset="-120"/>
                    <a:cs typeface="+mn-cs"/>
                  </a:defRPr>
                </a:pPr>
                <a:endParaRPr lang="el-GR"/>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Sheet1!$B$1:$E$1</c:f>
              <c:strCache>
                <c:ptCount val="4"/>
                <c:pt idx="0">
                  <c:v>Βελτιώθηκε</c:v>
                </c:pt>
                <c:pt idx="1">
                  <c:v>Επιδεινώθηκε</c:v>
                </c:pt>
                <c:pt idx="2">
                  <c:v>Παρέμεινε αμετάβλητη</c:v>
                </c:pt>
                <c:pt idx="3">
                  <c:v>ΔΑ</c:v>
                </c:pt>
              </c:strCache>
            </c:strRef>
          </c:cat>
          <c:val>
            <c:numRef>
              <c:f>Sheet1!$B$2:$E$2</c:f>
              <c:numCache>
                <c:formatCode>General</c:formatCode>
                <c:ptCount val="4"/>
                <c:pt idx="0">
                  <c:v>4.2</c:v>
                </c:pt>
                <c:pt idx="1">
                  <c:v>79.8</c:v>
                </c:pt>
                <c:pt idx="2">
                  <c:v>15.9</c:v>
                </c:pt>
                <c:pt idx="3">
                  <c:v>0.1</c:v>
                </c:pt>
              </c:numCache>
            </c:numRef>
          </c:val>
          <c:extLst>
            <c:ext xmlns:c16="http://schemas.microsoft.com/office/drawing/2014/chart" uri="{C3380CC4-5D6E-409C-BE32-E72D297353CC}">
              <c16:uniqueId val="{00000008-A99B-4C1B-A2A5-52CD56DED197}"/>
            </c:ext>
          </c:extLst>
        </c:ser>
        <c:dLbls>
          <c:showLegendKey val="0"/>
          <c:showVal val="0"/>
          <c:showCatName val="0"/>
          <c:showSerName val="0"/>
          <c:showPercent val="1"/>
          <c:showBubbleSize val="0"/>
          <c:showLeaderLines val="0"/>
        </c:dLbls>
        <c:firstSliceAng val="0"/>
        <c:holeSize val="50"/>
      </c:doughnutChart>
      <c:spPr>
        <a:noFill/>
        <a:ln>
          <a:noFill/>
        </a:ln>
        <a:effectLst/>
      </c:spPr>
    </c:plotArea>
    <c:plotVisOnly val="1"/>
    <c:dispBlanksAs val="zero"/>
    <c:showDLblsOverMax val="0"/>
  </c:chart>
  <c:spPr>
    <a:noFill/>
    <a:ln w="9525" cap="flat" cmpd="sng" algn="ctr">
      <a:solidFill>
        <a:sysClr val="windowText" lastClr="000000"/>
      </a:solidFill>
      <a:round/>
    </a:ln>
    <a:effectLst/>
  </c:spPr>
  <c:txPr>
    <a:bodyPr/>
    <a:lstStyle/>
    <a:p>
      <a:pPr>
        <a:defRPr/>
      </a:pPr>
      <a:endParaRPr lang="el-G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511087846543614"/>
          <c:y val="6.699017848757606E-2"/>
          <c:w val="0.75971758413064094"/>
          <c:h val="0.87210341697941962"/>
        </c:manualLayout>
      </c:layout>
      <c:barChart>
        <c:barDir val="bar"/>
        <c:grouping val="percentStacked"/>
        <c:varyColors val="0"/>
        <c:ser>
          <c:idx val="0"/>
          <c:order val="0"/>
          <c:tx>
            <c:strRef>
              <c:f>Φύλλο1!$B$1</c:f>
              <c:strCache>
                <c:ptCount val="1"/>
                <c:pt idx="0">
                  <c:v>Βελτιώθηκε</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Φύλλο1!$A$2:$A$26</c:f>
              <c:strCache>
                <c:ptCount val="25"/>
                <c:pt idx="0">
                  <c:v>ΚΛΑΔΟΣ</c:v>
                </c:pt>
                <c:pt idx="1">
                  <c:v>Εμπόριο</c:v>
                </c:pt>
                <c:pt idx="2">
                  <c:v>Μεταποίηση- βιοτεχνία</c:v>
                </c:pt>
                <c:pt idx="3">
                  <c:v>Υπηρεσίες</c:v>
                </c:pt>
                <c:pt idx="4">
                  <c:v>ΕΤΗ ΛΕΙΤΟΥΡΓΙΑΣ</c:v>
                </c:pt>
                <c:pt idx="5">
                  <c:v>έως 5 χρόνια</c:v>
                </c:pt>
                <c:pt idx="6">
                  <c:v>5-10 χρόνια</c:v>
                </c:pt>
                <c:pt idx="7">
                  <c:v>10-15 χρόνια</c:v>
                </c:pt>
                <c:pt idx="8">
                  <c:v>15 και άνω</c:v>
                </c:pt>
                <c:pt idx="9">
                  <c:v>ΕΤΗΣΙΟΣ ΤΖΙΡΟΣ</c:v>
                </c:pt>
                <c:pt idx="10">
                  <c:v>Έως 50.000</c:v>
                </c:pt>
                <c:pt idx="11">
                  <c:v>50.000-100.000</c:v>
                </c:pt>
                <c:pt idx="12">
                  <c:v>100.000- 300.000</c:v>
                </c:pt>
                <c:pt idx="13">
                  <c:v>Πάνω από 300.000</c:v>
                </c:pt>
                <c:pt idx="14">
                  <c:v>ΠΕΡΙΟΧΗ</c:v>
                </c:pt>
                <c:pt idx="15">
                  <c:v>EL1_ATTIKH</c:v>
                </c:pt>
                <c:pt idx="16">
                  <c:v>EL2_ΝΗΣΙΑ ΑΙΓΑΙΟΥ &amp; ΚΡΗΤΗ</c:v>
                </c:pt>
                <c:pt idx="17">
                  <c:v>EL3_ΒΟΡΕΙΑ ΕΛΛΑΔΑ</c:v>
                </c:pt>
                <c:pt idx="18">
                  <c:v>EL4_ΚΕΝΤΡΙΚΗ ΕΛΛΑΔΑ</c:v>
                </c:pt>
                <c:pt idx="19">
                  <c:v>ΑΡ. ΕΡΓΑΖΟΜΕΝΩΝ</c:v>
                </c:pt>
                <c:pt idx="20">
                  <c:v>Χωρίς προσωπικό</c:v>
                </c:pt>
                <c:pt idx="21">
                  <c:v>1 άτομο</c:v>
                </c:pt>
                <c:pt idx="22">
                  <c:v>2-3 άτομα</c:v>
                </c:pt>
                <c:pt idx="23">
                  <c:v>4-5 άτομα</c:v>
                </c:pt>
                <c:pt idx="24">
                  <c:v>Πάνω από 5 άτομα</c:v>
                </c:pt>
              </c:strCache>
            </c:strRef>
          </c:cat>
          <c:val>
            <c:numRef>
              <c:f>Φύλλο1!$B$2:$B$26</c:f>
              <c:numCache>
                <c:formatCode>General</c:formatCode>
                <c:ptCount val="25"/>
                <c:pt idx="1">
                  <c:v>3.7</c:v>
                </c:pt>
                <c:pt idx="2">
                  <c:v>6.2</c:v>
                </c:pt>
                <c:pt idx="3">
                  <c:v>3.5</c:v>
                </c:pt>
                <c:pt idx="5">
                  <c:v>3.6</c:v>
                </c:pt>
                <c:pt idx="6">
                  <c:v>3</c:v>
                </c:pt>
                <c:pt idx="7">
                  <c:v>5.7</c:v>
                </c:pt>
                <c:pt idx="8">
                  <c:v>4.3</c:v>
                </c:pt>
                <c:pt idx="10">
                  <c:v>3.1</c:v>
                </c:pt>
                <c:pt idx="11">
                  <c:v>4</c:v>
                </c:pt>
                <c:pt idx="12">
                  <c:v>3.5</c:v>
                </c:pt>
                <c:pt idx="13">
                  <c:v>8.6999999999999993</c:v>
                </c:pt>
                <c:pt idx="15">
                  <c:v>4.4000000000000004</c:v>
                </c:pt>
                <c:pt idx="16">
                  <c:v>5.8</c:v>
                </c:pt>
                <c:pt idx="17">
                  <c:v>3.2</c:v>
                </c:pt>
                <c:pt idx="18">
                  <c:v>4.3</c:v>
                </c:pt>
                <c:pt idx="20">
                  <c:v>3.1</c:v>
                </c:pt>
                <c:pt idx="21">
                  <c:v>4.7</c:v>
                </c:pt>
                <c:pt idx="22">
                  <c:v>4.9000000000000004</c:v>
                </c:pt>
                <c:pt idx="23">
                  <c:v>2.6</c:v>
                </c:pt>
                <c:pt idx="24">
                  <c:v>5.9</c:v>
                </c:pt>
              </c:numCache>
            </c:numRef>
          </c:val>
          <c:extLst>
            <c:ext xmlns:c16="http://schemas.microsoft.com/office/drawing/2014/chart" uri="{C3380CC4-5D6E-409C-BE32-E72D297353CC}">
              <c16:uniqueId val="{00000000-0C49-4734-8A9C-AE8D04BD43BB}"/>
            </c:ext>
          </c:extLst>
        </c:ser>
        <c:ser>
          <c:idx val="1"/>
          <c:order val="1"/>
          <c:tx>
            <c:strRef>
              <c:f>Φύλλο1!$C$1</c:f>
              <c:strCache>
                <c:ptCount val="1"/>
                <c:pt idx="0">
                  <c:v>Επιδεινώθηκε</c:v>
                </c:pt>
              </c:strCache>
            </c:strRef>
          </c:tx>
          <c:invertIfNegative val="0"/>
          <c:dLbls>
            <c:spPr>
              <a:noFill/>
              <a:ln>
                <a:noFill/>
              </a:ln>
              <a:effectLst/>
            </c:spPr>
            <c:txPr>
              <a:bodyPr/>
              <a:lstStyle/>
              <a:p>
                <a:pPr algn="ctr">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Φύλλο1!$A$2:$A$26</c:f>
              <c:strCache>
                <c:ptCount val="25"/>
                <c:pt idx="0">
                  <c:v>ΚΛΑΔΟΣ</c:v>
                </c:pt>
                <c:pt idx="1">
                  <c:v>Εμπόριο</c:v>
                </c:pt>
                <c:pt idx="2">
                  <c:v>Μεταποίηση- βιοτεχνία</c:v>
                </c:pt>
                <c:pt idx="3">
                  <c:v>Υπηρεσίες</c:v>
                </c:pt>
                <c:pt idx="4">
                  <c:v>ΕΤΗ ΛΕΙΤΟΥΡΓΙΑΣ</c:v>
                </c:pt>
                <c:pt idx="5">
                  <c:v>έως 5 χρόνια</c:v>
                </c:pt>
                <c:pt idx="6">
                  <c:v>5-10 χρόνια</c:v>
                </c:pt>
                <c:pt idx="7">
                  <c:v>10-15 χρόνια</c:v>
                </c:pt>
                <c:pt idx="8">
                  <c:v>15 και άνω</c:v>
                </c:pt>
                <c:pt idx="9">
                  <c:v>ΕΤΗΣΙΟΣ ΤΖΙΡΟΣ</c:v>
                </c:pt>
                <c:pt idx="10">
                  <c:v>Έως 50.000</c:v>
                </c:pt>
                <c:pt idx="11">
                  <c:v>50.000-100.000</c:v>
                </c:pt>
                <c:pt idx="12">
                  <c:v>100.000- 300.000</c:v>
                </c:pt>
                <c:pt idx="13">
                  <c:v>Πάνω από 300.000</c:v>
                </c:pt>
                <c:pt idx="14">
                  <c:v>ΠΕΡΙΟΧΗ</c:v>
                </c:pt>
                <c:pt idx="15">
                  <c:v>EL1_ATTIKH</c:v>
                </c:pt>
                <c:pt idx="16">
                  <c:v>EL2_ΝΗΣΙΑ ΑΙΓΑΙΟΥ &amp; ΚΡΗΤΗ</c:v>
                </c:pt>
                <c:pt idx="17">
                  <c:v>EL3_ΒΟΡΕΙΑ ΕΛΛΑΔΑ</c:v>
                </c:pt>
                <c:pt idx="18">
                  <c:v>EL4_ΚΕΝΤΡΙΚΗ ΕΛΛΑΔΑ</c:v>
                </c:pt>
                <c:pt idx="19">
                  <c:v>ΑΡ. ΕΡΓΑΖΟΜΕΝΩΝ</c:v>
                </c:pt>
                <c:pt idx="20">
                  <c:v>Χωρίς προσωπικό</c:v>
                </c:pt>
                <c:pt idx="21">
                  <c:v>1 άτομο</c:v>
                </c:pt>
                <c:pt idx="22">
                  <c:v>2-3 άτομα</c:v>
                </c:pt>
                <c:pt idx="23">
                  <c:v>4-5 άτομα</c:v>
                </c:pt>
                <c:pt idx="24">
                  <c:v>Πάνω από 5 άτομα</c:v>
                </c:pt>
              </c:strCache>
            </c:strRef>
          </c:cat>
          <c:val>
            <c:numRef>
              <c:f>Φύλλο1!$C$2:$C$26</c:f>
              <c:numCache>
                <c:formatCode>General</c:formatCode>
                <c:ptCount val="25"/>
                <c:pt idx="1">
                  <c:v>76</c:v>
                </c:pt>
                <c:pt idx="2">
                  <c:v>80.400000000000006</c:v>
                </c:pt>
                <c:pt idx="3">
                  <c:v>83</c:v>
                </c:pt>
                <c:pt idx="5">
                  <c:v>70.900000000000006</c:v>
                </c:pt>
                <c:pt idx="6">
                  <c:v>80.599999999999994</c:v>
                </c:pt>
                <c:pt idx="7">
                  <c:v>74.3</c:v>
                </c:pt>
                <c:pt idx="8">
                  <c:v>81</c:v>
                </c:pt>
                <c:pt idx="10">
                  <c:v>88</c:v>
                </c:pt>
                <c:pt idx="11">
                  <c:v>78.5</c:v>
                </c:pt>
                <c:pt idx="12">
                  <c:v>78.3</c:v>
                </c:pt>
                <c:pt idx="13">
                  <c:v>62.3</c:v>
                </c:pt>
                <c:pt idx="15">
                  <c:v>77.8</c:v>
                </c:pt>
                <c:pt idx="16">
                  <c:v>77.900000000000006</c:v>
                </c:pt>
                <c:pt idx="17">
                  <c:v>78.7</c:v>
                </c:pt>
                <c:pt idx="18">
                  <c:v>85.1</c:v>
                </c:pt>
                <c:pt idx="20">
                  <c:v>84.1</c:v>
                </c:pt>
                <c:pt idx="21">
                  <c:v>82.6</c:v>
                </c:pt>
                <c:pt idx="22">
                  <c:v>75.5</c:v>
                </c:pt>
                <c:pt idx="23">
                  <c:v>84.4</c:v>
                </c:pt>
                <c:pt idx="24">
                  <c:v>71.7</c:v>
                </c:pt>
              </c:numCache>
            </c:numRef>
          </c:val>
          <c:extLst>
            <c:ext xmlns:c16="http://schemas.microsoft.com/office/drawing/2014/chart" uri="{C3380CC4-5D6E-409C-BE32-E72D297353CC}">
              <c16:uniqueId val="{00000001-0C49-4734-8A9C-AE8D04BD43BB}"/>
            </c:ext>
          </c:extLst>
        </c:ser>
        <c:ser>
          <c:idx val="2"/>
          <c:order val="2"/>
          <c:tx>
            <c:strRef>
              <c:f>Φύλλο1!$D$1</c:f>
              <c:strCache>
                <c:ptCount val="1"/>
                <c:pt idx="0">
                  <c:v>Παρέμεινε αμετάβλητη</c:v>
                </c:pt>
              </c:strCache>
            </c:strRef>
          </c:tx>
          <c:spPr>
            <a:solidFill>
              <a:schemeClr val="accent1">
                <a:lumMod val="75000"/>
              </a:schemeClr>
            </a:solidFill>
          </c:spPr>
          <c:invertIfNegative val="0"/>
          <c:dLbls>
            <c:spPr>
              <a:noFill/>
              <a:ln>
                <a:noFill/>
              </a:ln>
              <a:effectLst/>
            </c:spPr>
            <c:txPr>
              <a:bodyPr/>
              <a:lstStyle/>
              <a:p>
                <a:pPr algn="ctr">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Φύλλο1!$A$2:$A$26</c:f>
              <c:strCache>
                <c:ptCount val="25"/>
                <c:pt idx="0">
                  <c:v>ΚΛΑΔΟΣ</c:v>
                </c:pt>
                <c:pt idx="1">
                  <c:v>Εμπόριο</c:v>
                </c:pt>
                <c:pt idx="2">
                  <c:v>Μεταποίηση- βιοτεχνία</c:v>
                </c:pt>
                <c:pt idx="3">
                  <c:v>Υπηρεσίες</c:v>
                </c:pt>
                <c:pt idx="4">
                  <c:v>ΕΤΗ ΛΕΙΤΟΥΡΓΙΑΣ</c:v>
                </c:pt>
                <c:pt idx="5">
                  <c:v>έως 5 χρόνια</c:v>
                </c:pt>
                <c:pt idx="6">
                  <c:v>5-10 χρόνια</c:v>
                </c:pt>
                <c:pt idx="7">
                  <c:v>10-15 χρόνια</c:v>
                </c:pt>
                <c:pt idx="8">
                  <c:v>15 και άνω</c:v>
                </c:pt>
                <c:pt idx="9">
                  <c:v>ΕΤΗΣΙΟΣ ΤΖΙΡΟΣ</c:v>
                </c:pt>
                <c:pt idx="10">
                  <c:v>Έως 50.000</c:v>
                </c:pt>
                <c:pt idx="11">
                  <c:v>50.000-100.000</c:v>
                </c:pt>
                <c:pt idx="12">
                  <c:v>100.000- 300.000</c:v>
                </c:pt>
                <c:pt idx="13">
                  <c:v>Πάνω από 300.000</c:v>
                </c:pt>
                <c:pt idx="14">
                  <c:v>ΠΕΡΙΟΧΗ</c:v>
                </c:pt>
                <c:pt idx="15">
                  <c:v>EL1_ATTIKH</c:v>
                </c:pt>
                <c:pt idx="16">
                  <c:v>EL2_ΝΗΣΙΑ ΑΙΓΑΙΟΥ &amp; ΚΡΗΤΗ</c:v>
                </c:pt>
                <c:pt idx="17">
                  <c:v>EL3_ΒΟΡΕΙΑ ΕΛΛΑΔΑ</c:v>
                </c:pt>
                <c:pt idx="18">
                  <c:v>EL4_ΚΕΝΤΡΙΚΗ ΕΛΛΑΔΑ</c:v>
                </c:pt>
                <c:pt idx="19">
                  <c:v>ΑΡ. ΕΡΓΑΖΟΜΕΝΩΝ</c:v>
                </c:pt>
                <c:pt idx="20">
                  <c:v>Χωρίς προσωπικό</c:v>
                </c:pt>
                <c:pt idx="21">
                  <c:v>1 άτομο</c:v>
                </c:pt>
                <c:pt idx="22">
                  <c:v>2-3 άτομα</c:v>
                </c:pt>
                <c:pt idx="23">
                  <c:v>4-5 άτομα</c:v>
                </c:pt>
                <c:pt idx="24">
                  <c:v>Πάνω από 5 άτομα</c:v>
                </c:pt>
              </c:strCache>
            </c:strRef>
          </c:cat>
          <c:val>
            <c:numRef>
              <c:f>Φύλλο1!$D$2:$D$26</c:f>
              <c:numCache>
                <c:formatCode>General</c:formatCode>
                <c:ptCount val="25"/>
                <c:pt idx="1">
                  <c:v>20.3</c:v>
                </c:pt>
                <c:pt idx="2">
                  <c:v>13.4</c:v>
                </c:pt>
                <c:pt idx="3">
                  <c:v>13.2</c:v>
                </c:pt>
                <c:pt idx="5">
                  <c:v>23.6</c:v>
                </c:pt>
                <c:pt idx="6">
                  <c:v>16.399999999999999</c:v>
                </c:pt>
                <c:pt idx="7">
                  <c:v>20</c:v>
                </c:pt>
                <c:pt idx="8">
                  <c:v>14.7</c:v>
                </c:pt>
                <c:pt idx="10">
                  <c:v>8.6999999999999993</c:v>
                </c:pt>
                <c:pt idx="11">
                  <c:v>17.399999999999999</c:v>
                </c:pt>
                <c:pt idx="12">
                  <c:v>18.3</c:v>
                </c:pt>
                <c:pt idx="13">
                  <c:v>29</c:v>
                </c:pt>
                <c:pt idx="15">
                  <c:v>17.7</c:v>
                </c:pt>
                <c:pt idx="16">
                  <c:v>16.3</c:v>
                </c:pt>
                <c:pt idx="17">
                  <c:v>17.600000000000001</c:v>
                </c:pt>
                <c:pt idx="18">
                  <c:v>10.6</c:v>
                </c:pt>
                <c:pt idx="20">
                  <c:v>12.8</c:v>
                </c:pt>
                <c:pt idx="21">
                  <c:v>12.1</c:v>
                </c:pt>
                <c:pt idx="22">
                  <c:v>19.600000000000001</c:v>
                </c:pt>
                <c:pt idx="23">
                  <c:v>13</c:v>
                </c:pt>
                <c:pt idx="24">
                  <c:v>22.4</c:v>
                </c:pt>
              </c:numCache>
            </c:numRef>
          </c:val>
          <c:extLst>
            <c:ext xmlns:c16="http://schemas.microsoft.com/office/drawing/2014/chart" uri="{C3380CC4-5D6E-409C-BE32-E72D297353CC}">
              <c16:uniqueId val="{00000002-0C49-4734-8A9C-AE8D04BD43BB}"/>
            </c:ext>
          </c:extLst>
        </c:ser>
        <c:ser>
          <c:idx val="3"/>
          <c:order val="3"/>
          <c:tx>
            <c:strRef>
              <c:f>Φύλλο1!$E$1</c:f>
              <c:strCache>
                <c:ptCount val="1"/>
                <c:pt idx="0">
                  <c:v>ΔΑ</c:v>
                </c:pt>
              </c:strCache>
            </c:strRef>
          </c:tx>
          <c:spPr>
            <a:solidFill>
              <a:schemeClr val="bg1">
                <a:lumMod val="50000"/>
              </a:schemeClr>
            </a:solidFill>
          </c:spPr>
          <c:invertIfNegative val="0"/>
          <c:dLbls>
            <c:dLbl>
              <c:idx val="3"/>
              <c:layout>
                <c:manualLayout>
                  <c:x val="2.301970532685910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C49-4734-8A9C-AE8D04BD43BB}"/>
                </c:ext>
              </c:extLst>
            </c:dLbl>
            <c:dLbl>
              <c:idx val="4"/>
              <c:layout>
                <c:manualLayout>
                  <c:x val="1.5474077226713182E-2"/>
                  <c:y val="-2.290510289621499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C49-4734-8A9C-AE8D04BD43BB}"/>
                </c:ext>
              </c:extLst>
            </c:dLbl>
            <c:dLbl>
              <c:idx val="5"/>
              <c:layout>
                <c:manualLayout>
                  <c:x val="1.7247071885316642E-2"/>
                  <c:y val="-2.249706829543038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C49-4734-8A9C-AE8D04BD43BB}"/>
                </c:ext>
              </c:extLst>
            </c:dLbl>
            <c:dLbl>
              <c:idx val="19"/>
              <c:layout>
                <c:manualLayout>
                  <c:x val="3.4240374435520235E-2"/>
                  <c:y val="-4.581020579243040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C49-4734-8A9C-AE8D04BD43BB}"/>
                </c:ext>
              </c:extLst>
            </c:dLbl>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Φύλλο1!$A$2:$A$26</c:f>
              <c:strCache>
                <c:ptCount val="25"/>
                <c:pt idx="0">
                  <c:v>ΚΛΑΔΟΣ</c:v>
                </c:pt>
                <c:pt idx="1">
                  <c:v>Εμπόριο</c:v>
                </c:pt>
                <c:pt idx="2">
                  <c:v>Μεταποίηση- βιοτεχνία</c:v>
                </c:pt>
                <c:pt idx="3">
                  <c:v>Υπηρεσίες</c:v>
                </c:pt>
                <c:pt idx="4">
                  <c:v>ΕΤΗ ΛΕΙΤΟΥΡΓΙΑΣ</c:v>
                </c:pt>
                <c:pt idx="5">
                  <c:v>έως 5 χρόνια</c:v>
                </c:pt>
                <c:pt idx="6">
                  <c:v>5-10 χρόνια</c:v>
                </c:pt>
                <c:pt idx="7">
                  <c:v>10-15 χρόνια</c:v>
                </c:pt>
                <c:pt idx="8">
                  <c:v>15 και άνω</c:v>
                </c:pt>
                <c:pt idx="9">
                  <c:v>ΕΤΗΣΙΟΣ ΤΖΙΡΟΣ</c:v>
                </c:pt>
                <c:pt idx="10">
                  <c:v>Έως 50.000</c:v>
                </c:pt>
                <c:pt idx="11">
                  <c:v>50.000-100.000</c:v>
                </c:pt>
                <c:pt idx="12">
                  <c:v>100.000- 300.000</c:v>
                </c:pt>
                <c:pt idx="13">
                  <c:v>Πάνω από 300.000</c:v>
                </c:pt>
                <c:pt idx="14">
                  <c:v>ΠΕΡΙΟΧΗ</c:v>
                </c:pt>
                <c:pt idx="15">
                  <c:v>EL1_ATTIKH</c:v>
                </c:pt>
                <c:pt idx="16">
                  <c:v>EL2_ΝΗΣΙΑ ΑΙΓΑΙΟΥ &amp; ΚΡΗΤΗ</c:v>
                </c:pt>
                <c:pt idx="17">
                  <c:v>EL3_ΒΟΡΕΙΑ ΕΛΛΑΔΑ</c:v>
                </c:pt>
                <c:pt idx="18">
                  <c:v>EL4_ΚΕΝΤΡΙΚΗ ΕΛΛΑΔΑ</c:v>
                </c:pt>
                <c:pt idx="19">
                  <c:v>ΑΡ. ΕΡΓΑΖΟΜΕΝΩΝ</c:v>
                </c:pt>
                <c:pt idx="20">
                  <c:v>Χωρίς προσωπικό</c:v>
                </c:pt>
                <c:pt idx="21">
                  <c:v>1 άτομο</c:v>
                </c:pt>
                <c:pt idx="22">
                  <c:v>2-3 άτομα</c:v>
                </c:pt>
                <c:pt idx="23">
                  <c:v>4-5 άτομα</c:v>
                </c:pt>
                <c:pt idx="24">
                  <c:v>Πάνω από 5 άτομα</c:v>
                </c:pt>
              </c:strCache>
            </c:strRef>
          </c:cat>
          <c:val>
            <c:numRef>
              <c:f>Φύλλο1!$E$2:$E$26</c:f>
              <c:numCache>
                <c:formatCode>General</c:formatCode>
                <c:ptCount val="25"/>
                <c:pt idx="1">
                  <c:v>0</c:v>
                </c:pt>
                <c:pt idx="2">
                  <c:v>0</c:v>
                </c:pt>
                <c:pt idx="3">
                  <c:v>0.3</c:v>
                </c:pt>
                <c:pt idx="5">
                  <c:v>1.8</c:v>
                </c:pt>
                <c:pt idx="6">
                  <c:v>0</c:v>
                </c:pt>
                <c:pt idx="7">
                  <c:v>0</c:v>
                </c:pt>
                <c:pt idx="8">
                  <c:v>0</c:v>
                </c:pt>
                <c:pt idx="10">
                  <c:v>0.3</c:v>
                </c:pt>
                <c:pt idx="11">
                  <c:v>0</c:v>
                </c:pt>
                <c:pt idx="12">
                  <c:v>0</c:v>
                </c:pt>
                <c:pt idx="13">
                  <c:v>0</c:v>
                </c:pt>
                <c:pt idx="15">
                  <c:v>0</c:v>
                </c:pt>
                <c:pt idx="16">
                  <c:v>0</c:v>
                </c:pt>
                <c:pt idx="17">
                  <c:v>0.5</c:v>
                </c:pt>
                <c:pt idx="18">
                  <c:v>0</c:v>
                </c:pt>
                <c:pt idx="20">
                  <c:v>0</c:v>
                </c:pt>
                <c:pt idx="21">
                  <c:v>0.7</c:v>
                </c:pt>
                <c:pt idx="22">
                  <c:v>0</c:v>
                </c:pt>
                <c:pt idx="23">
                  <c:v>0</c:v>
                </c:pt>
                <c:pt idx="24">
                  <c:v>0</c:v>
                </c:pt>
              </c:numCache>
            </c:numRef>
          </c:val>
          <c:extLst>
            <c:ext xmlns:c16="http://schemas.microsoft.com/office/drawing/2014/chart" uri="{C3380CC4-5D6E-409C-BE32-E72D297353CC}">
              <c16:uniqueId val="{00000007-0C49-4734-8A9C-AE8D04BD43BB}"/>
            </c:ext>
          </c:extLst>
        </c:ser>
        <c:dLbls>
          <c:showLegendKey val="0"/>
          <c:showVal val="0"/>
          <c:showCatName val="0"/>
          <c:showSerName val="0"/>
          <c:showPercent val="0"/>
          <c:showBubbleSize val="0"/>
        </c:dLbls>
        <c:gapWidth val="30"/>
        <c:overlap val="100"/>
        <c:axId val="350247936"/>
        <c:axId val="350253824"/>
      </c:barChart>
      <c:catAx>
        <c:axId val="350247936"/>
        <c:scaling>
          <c:orientation val="maxMin"/>
        </c:scaling>
        <c:delete val="0"/>
        <c:axPos val="l"/>
        <c:numFmt formatCode="General" sourceLinked="0"/>
        <c:majorTickMark val="out"/>
        <c:minorTickMark val="none"/>
        <c:tickLblPos val="nextTo"/>
        <c:crossAx val="350253824"/>
        <c:crosses val="autoZero"/>
        <c:auto val="1"/>
        <c:lblAlgn val="ctr"/>
        <c:lblOffset val="100"/>
        <c:noMultiLvlLbl val="0"/>
      </c:catAx>
      <c:valAx>
        <c:axId val="350253824"/>
        <c:scaling>
          <c:orientation val="minMax"/>
        </c:scaling>
        <c:delete val="0"/>
        <c:axPos val="b"/>
        <c:majorGridlines/>
        <c:numFmt formatCode="0%" sourceLinked="1"/>
        <c:majorTickMark val="out"/>
        <c:minorTickMark val="none"/>
        <c:tickLblPos val="nextTo"/>
        <c:crossAx val="350247936"/>
        <c:crosses val="max"/>
        <c:crossBetween val="between"/>
      </c:valAx>
    </c:plotArea>
    <c:legend>
      <c:legendPos val="t"/>
      <c:layout>
        <c:manualLayout>
          <c:xMode val="edge"/>
          <c:yMode val="edge"/>
          <c:x val="0.24117469399269018"/>
          <c:y val="0"/>
          <c:w val="0.54490917899281277"/>
          <c:h val="4.6545931758530182E-2"/>
        </c:manualLayout>
      </c:layout>
      <c:overlay val="0"/>
    </c:legend>
    <c:plotVisOnly val="1"/>
    <c:dispBlanksAs val="gap"/>
    <c:showDLblsOverMax val="0"/>
  </c:chart>
  <c:txPr>
    <a:bodyPr/>
    <a:lstStyle/>
    <a:p>
      <a:pPr>
        <a:defRPr sz="800">
          <a:solidFill>
            <a:schemeClr val="tx1"/>
          </a:solidFill>
          <a:latin typeface="Microsoft JhengHei UI" panose="020B0604030504040204" pitchFamily="34" charset="-120"/>
          <a:ea typeface="Microsoft JhengHei UI" panose="020B0604030504040204" pitchFamily="34" charset="-120"/>
        </a:defRPr>
      </a:pPr>
      <a:endParaRPr lang="el-G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nchor="t" anchorCtr="0"/>
          <a:lstStyle/>
          <a:p>
            <a:pPr>
              <a:defRPr/>
            </a:pPr>
            <a:r>
              <a:rPr lang="el-GR" sz="1200" b="1">
                <a:effectLst/>
              </a:rPr>
              <a:t>Γράφημα 4</a:t>
            </a:r>
            <a:endParaRPr lang="en-US" sz="1200">
              <a:effectLst/>
            </a:endParaRPr>
          </a:p>
          <a:p>
            <a:pPr>
              <a:defRPr/>
            </a:pPr>
            <a:r>
              <a:rPr lang="el-GR" sz="1000" b="1">
                <a:effectLst/>
              </a:rPr>
              <a:t>Θα ήθελα να μου πείτε εάν το δεύτερο εξάμηνο του 2020, αυξήθηκε, μειώθηκε ή παρέμεινε αμετάβλητος ο κύκλος εργασιών (τζίρος) της επιχείρησής σας:</a:t>
            </a:r>
            <a:endParaRPr lang="en-US" sz="1000">
              <a:effectLst/>
            </a:endParaRPr>
          </a:p>
        </c:rich>
      </c:tx>
      <c:layout>
        <c:manualLayout>
          <c:xMode val="edge"/>
          <c:yMode val="edge"/>
          <c:x val="9.2477731622129911E-2"/>
          <c:y val="5.9041699542158432E-4"/>
        </c:manualLayout>
      </c:layout>
      <c:overlay val="0"/>
    </c:title>
    <c:autoTitleDeleted val="0"/>
    <c:plotArea>
      <c:layout>
        <c:manualLayout>
          <c:layoutTarget val="inner"/>
          <c:xMode val="edge"/>
          <c:yMode val="edge"/>
          <c:x val="0.20187875895674859"/>
          <c:y val="0.27498306247179566"/>
          <c:w val="0.39762507523439"/>
          <c:h val="0.61041732402533311"/>
        </c:manualLayout>
      </c:layout>
      <c:doughnutChart>
        <c:varyColors val="1"/>
        <c:ser>
          <c:idx val="0"/>
          <c:order val="0"/>
          <c:spPr>
            <a:ln w="12700">
              <a:solidFill>
                <a:schemeClr val="bg1"/>
              </a:solidFill>
            </a:ln>
            <a:effectLst/>
          </c:spPr>
          <c:dPt>
            <c:idx val="0"/>
            <c:bubble3D val="0"/>
            <c:spPr>
              <a:solidFill>
                <a:schemeClr val="accent3"/>
              </a:solidFill>
              <a:ln w="12700">
                <a:solidFill>
                  <a:schemeClr val="bg1"/>
                </a:solidFill>
              </a:ln>
              <a:effectLst/>
            </c:spPr>
            <c:extLst>
              <c:ext xmlns:c16="http://schemas.microsoft.com/office/drawing/2014/chart" uri="{C3380CC4-5D6E-409C-BE32-E72D297353CC}">
                <c16:uniqueId val="{00000001-4FB6-4144-A405-B0D27B3CBEF8}"/>
              </c:ext>
            </c:extLst>
          </c:dPt>
          <c:dPt>
            <c:idx val="1"/>
            <c:bubble3D val="0"/>
            <c:spPr>
              <a:solidFill>
                <a:schemeClr val="accent2"/>
              </a:solidFill>
              <a:ln w="12700">
                <a:solidFill>
                  <a:schemeClr val="bg1"/>
                </a:solidFill>
              </a:ln>
              <a:effectLst/>
            </c:spPr>
            <c:extLst>
              <c:ext xmlns:c16="http://schemas.microsoft.com/office/drawing/2014/chart" uri="{C3380CC4-5D6E-409C-BE32-E72D297353CC}">
                <c16:uniqueId val="{00000003-4FB6-4144-A405-B0D27B3CBEF8}"/>
              </c:ext>
            </c:extLst>
          </c:dPt>
          <c:dPt>
            <c:idx val="2"/>
            <c:bubble3D val="0"/>
            <c:spPr>
              <a:solidFill>
                <a:srgbClr val="4F81BD"/>
              </a:solidFill>
              <a:ln w="12700">
                <a:solidFill>
                  <a:schemeClr val="bg1"/>
                </a:solidFill>
              </a:ln>
              <a:effectLst/>
            </c:spPr>
            <c:extLst>
              <c:ext xmlns:c16="http://schemas.microsoft.com/office/drawing/2014/chart" uri="{C3380CC4-5D6E-409C-BE32-E72D297353CC}">
                <c16:uniqueId val="{00000005-4FB6-4144-A405-B0D27B3CBEF8}"/>
              </c:ext>
            </c:extLst>
          </c:dPt>
          <c:dPt>
            <c:idx val="3"/>
            <c:bubble3D val="0"/>
            <c:spPr>
              <a:solidFill>
                <a:schemeClr val="bg1">
                  <a:lumMod val="65000"/>
                </a:schemeClr>
              </a:solidFill>
              <a:ln w="12700">
                <a:solidFill>
                  <a:schemeClr val="bg1"/>
                </a:solidFill>
              </a:ln>
              <a:effectLst/>
            </c:spPr>
            <c:extLst>
              <c:ext xmlns:c16="http://schemas.microsoft.com/office/drawing/2014/chart" uri="{C3380CC4-5D6E-409C-BE32-E72D297353CC}">
                <c16:uniqueId val="{00000007-4FB6-4144-A405-B0D27B3CBEF8}"/>
              </c:ext>
            </c:extLst>
          </c:dPt>
          <c:dLbls>
            <c:dLbl>
              <c:idx val="0"/>
              <c:layout>
                <c:manualLayout>
                  <c:x val="3.9116831013611381E-2"/>
                  <c:y val="-0.1547580420445847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FB6-4144-A405-B0D27B3CBEF8}"/>
                </c:ext>
              </c:extLst>
            </c:dLbl>
            <c:dLbl>
              <c:idx val="1"/>
              <c:layout>
                <c:manualLayout>
                  <c:x val="-5.3078985152094924E-3"/>
                  <c:y val="0.1730341925540566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FB6-4144-A405-B0D27B3CBEF8}"/>
                </c:ext>
              </c:extLst>
            </c:dLbl>
            <c:dLbl>
              <c:idx val="2"/>
              <c:layout>
                <c:manualLayout>
                  <c:x val="-0.10842791675859229"/>
                  <c:y val="-0.147346576154970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FB6-4144-A405-B0D27B3CBEF8}"/>
                </c:ext>
              </c:extLst>
            </c:dLbl>
            <c:dLbl>
              <c:idx val="3"/>
              <c:layout>
                <c:manualLayout>
                  <c:x val="-2.4770193070977397E-2"/>
                  <c:y val="-0.1554374950061865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FB6-4144-A405-B0D27B3CBEF8}"/>
                </c:ext>
              </c:extLst>
            </c:dLbl>
            <c:numFmt formatCode="0.0%" sourceLinked="0"/>
            <c:spPr>
              <a:noFill/>
              <a:ln>
                <a:noFill/>
              </a:ln>
              <a:effectLst/>
            </c:spPr>
            <c:txPr>
              <a:bodyPr rot="0" vert="horz"/>
              <a:lstStyle/>
              <a:p>
                <a:pPr>
                  <a:defRPr sz="1000"/>
                </a:pPr>
                <a:endParaRPr lang="el-GR"/>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Sheet1!$B$1:$E$1</c:f>
              <c:strCache>
                <c:ptCount val="4"/>
                <c:pt idx="0">
                  <c:v>αυξήθηκε</c:v>
                </c:pt>
                <c:pt idx="1">
                  <c:v>μειώθηκε</c:v>
                </c:pt>
                <c:pt idx="2">
                  <c:v>αμετάβλητος</c:v>
                </c:pt>
                <c:pt idx="3">
                  <c:v>Δ.Α</c:v>
                </c:pt>
              </c:strCache>
            </c:strRef>
          </c:cat>
          <c:val>
            <c:numRef>
              <c:f>Sheet1!$B$2:$E$2</c:f>
              <c:numCache>
                <c:formatCode>General</c:formatCode>
                <c:ptCount val="4"/>
                <c:pt idx="0">
                  <c:v>11.1</c:v>
                </c:pt>
                <c:pt idx="1">
                  <c:v>70.7</c:v>
                </c:pt>
                <c:pt idx="2">
                  <c:v>16.899999999999999</c:v>
                </c:pt>
                <c:pt idx="3">
                  <c:v>1.3</c:v>
                </c:pt>
              </c:numCache>
            </c:numRef>
          </c:val>
          <c:extLst>
            <c:ext xmlns:c16="http://schemas.microsoft.com/office/drawing/2014/chart" uri="{C3380CC4-5D6E-409C-BE32-E72D297353CC}">
              <c16:uniqueId val="{00000008-4FB6-4144-A405-B0D27B3CBEF8}"/>
            </c:ext>
          </c:extLst>
        </c:ser>
        <c:dLbls>
          <c:showLegendKey val="0"/>
          <c:showVal val="0"/>
          <c:showCatName val="0"/>
          <c:showSerName val="0"/>
          <c:showPercent val="1"/>
          <c:showBubbleSize val="0"/>
          <c:showLeaderLines val="0"/>
        </c:dLbls>
        <c:firstSliceAng val="0"/>
        <c:holeSize val="50"/>
      </c:doughnutChart>
      <c:spPr>
        <a:noFill/>
        <a:ln>
          <a:noFill/>
        </a:ln>
        <a:effectLst/>
      </c:spPr>
    </c:plotArea>
    <c:plotVisOnly val="1"/>
    <c:dispBlanksAs val="zero"/>
    <c:showDLblsOverMax val="0"/>
  </c:chart>
  <c:spPr>
    <a:noFill/>
    <a:ln w="9525" cap="flat" cmpd="sng" algn="ctr">
      <a:noFill/>
      <a:round/>
    </a:ln>
    <a:effectLst/>
  </c:spPr>
  <c:txPr>
    <a:bodyPr/>
    <a:lstStyle/>
    <a:p>
      <a:pPr>
        <a:defRPr sz="1000"/>
      </a:pPr>
      <a:endParaRPr lang="el-G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511087846543614"/>
          <c:y val="8.3145433888433123E-2"/>
          <c:w val="0.7572887020838468"/>
          <c:h val="0.84737772440099124"/>
        </c:manualLayout>
      </c:layout>
      <c:barChart>
        <c:barDir val="bar"/>
        <c:grouping val="percentStacked"/>
        <c:varyColors val="0"/>
        <c:ser>
          <c:idx val="0"/>
          <c:order val="0"/>
          <c:tx>
            <c:strRef>
              <c:f>Φύλλο1!$B$1</c:f>
              <c:strCache>
                <c:ptCount val="1"/>
                <c:pt idx="0">
                  <c:v>αυξήθηκε</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Φύλλο1!$A$2:$A$26</c:f>
              <c:strCache>
                <c:ptCount val="25"/>
                <c:pt idx="0">
                  <c:v>ΚΛΑΔΟΣ</c:v>
                </c:pt>
                <c:pt idx="1">
                  <c:v>Εμπόριο</c:v>
                </c:pt>
                <c:pt idx="2">
                  <c:v>Μεταποίηση- βιοτεχνία</c:v>
                </c:pt>
                <c:pt idx="3">
                  <c:v>Υπηρεσίες</c:v>
                </c:pt>
                <c:pt idx="4">
                  <c:v>ΕΤΗ ΛΕΙΤΟΥΡΓΙΑΣ</c:v>
                </c:pt>
                <c:pt idx="5">
                  <c:v>έως 5 χρόνια</c:v>
                </c:pt>
                <c:pt idx="6">
                  <c:v>5-10 χρόνια</c:v>
                </c:pt>
                <c:pt idx="7">
                  <c:v>10-15 χρόνια</c:v>
                </c:pt>
                <c:pt idx="8">
                  <c:v>15 και άνω</c:v>
                </c:pt>
                <c:pt idx="9">
                  <c:v>ΕΤΗΣΙΟΣ ΤΖΙΡΟΣ</c:v>
                </c:pt>
                <c:pt idx="10">
                  <c:v>Έως 50.000</c:v>
                </c:pt>
                <c:pt idx="11">
                  <c:v>50.000-100.000</c:v>
                </c:pt>
                <c:pt idx="12">
                  <c:v>100.000- 300.000</c:v>
                </c:pt>
                <c:pt idx="13">
                  <c:v>Πάνω από 300.000</c:v>
                </c:pt>
                <c:pt idx="14">
                  <c:v>ΠΕΡΙΟΧΗ</c:v>
                </c:pt>
                <c:pt idx="15">
                  <c:v>EL1_ATTIKH</c:v>
                </c:pt>
                <c:pt idx="16">
                  <c:v>EL2_ΝΗΣΙΑ ΑΙΓΑΙΟΥ &amp; ΚΡΗΤΗ</c:v>
                </c:pt>
                <c:pt idx="17">
                  <c:v>EL3_ΒΟΡΕΙΑ ΕΛΛΑΔΑ</c:v>
                </c:pt>
                <c:pt idx="18">
                  <c:v>EL4_ΚΕΝΤΡΙΚΗ ΕΛΛΑΔΑ</c:v>
                </c:pt>
                <c:pt idx="19">
                  <c:v>ΑΡ. ΕΡΓΑΖΟΜΕΝΩΝ</c:v>
                </c:pt>
                <c:pt idx="20">
                  <c:v>Χωρίς προσωπικό</c:v>
                </c:pt>
                <c:pt idx="21">
                  <c:v>1 άτομο</c:v>
                </c:pt>
                <c:pt idx="22">
                  <c:v>2-3 άτομα</c:v>
                </c:pt>
                <c:pt idx="23">
                  <c:v>4-5 άτομα</c:v>
                </c:pt>
                <c:pt idx="24">
                  <c:v>Πάνω από 5 άτομα</c:v>
                </c:pt>
              </c:strCache>
            </c:strRef>
          </c:cat>
          <c:val>
            <c:numRef>
              <c:f>Φύλλο1!$B$2:$B$26</c:f>
              <c:numCache>
                <c:formatCode>General</c:formatCode>
                <c:ptCount val="25"/>
                <c:pt idx="1">
                  <c:v>13.5</c:v>
                </c:pt>
                <c:pt idx="2">
                  <c:v>10.3</c:v>
                </c:pt>
                <c:pt idx="3">
                  <c:v>9.3000000000000007</c:v>
                </c:pt>
                <c:pt idx="5">
                  <c:v>10.9</c:v>
                </c:pt>
                <c:pt idx="6">
                  <c:v>16.399999999999999</c:v>
                </c:pt>
                <c:pt idx="7">
                  <c:v>15.7</c:v>
                </c:pt>
                <c:pt idx="8">
                  <c:v>10.1</c:v>
                </c:pt>
                <c:pt idx="10">
                  <c:v>7.8</c:v>
                </c:pt>
                <c:pt idx="11">
                  <c:v>11.4</c:v>
                </c:pt>
                <c:pt idx="12">
                  <c:v>8.6999999999999993</c:v>
                </c:pt>
                <c:pt idx="13">
                  <c:v>23.2</c:v>
                </c:pt>
                <c:pt idx="15">
                  <c:v>9.6</c:v>
                </c:pt>
                <c:pt idx="16">
                  <c:v>16.3</c:v>
                </c:pt>
                <c:pt idx="17">
                  <c:v>12.5</c:v>
                </c:pt>
                <c:pt idx="18">
                  <c:v>9</c:v>
                </c:pt>
                <c:pt idx="20">
                  <c:v>10.5</c:v>
                </c:pt>
                <c:pt idx="21">
                  <c:v>7.4</c:v>
                </c:pt>
                <c:pt idx="22">
                  <c:v>9.1999999999999993</c:v>
                </c:pt>
                <c:pt idx="23">
                  <c:v>13</c:v>
                </c:pt>
                <c:pt idx="24">
                  <c:v>17.100000000000001</c:v>
                </c:pt>
              </c:numCache>
            </c:numRef>
          </c:val>
          <c:extLst>
            <c:ext xmlns:c16="http://schemas.microsoft.com/office/drawing/2014/chart" uri="{C3380CC4-5D6E-409C-BE32-E72D297353CC}">
              <c16:uniqueId val="{00000000-95A1-4057-BF4E-99C80535FDFB}"/>
            </c:ext>
          </c:extLst>
        </c:ser>
        <c:ser>
          <c:idx val="1"/>
          <c:order val="1"/>
          <c:tx>
            <c:strRef>
              <c:f>Φύλλο1!$C$1</c:f>
              <c:strCache>
                <c:ptCount val="1"/>
                <c:pt idx="0">
                  <c:v>μειώθηκε</c:v>
                </c:pt>
              </c:strCache>
            </c:strRef>
          </c:tx>
          <c:invertIfNegative val="0"/>
          <c:dLbls>
            <c:spPr>
              <a:noFill/>
              <a:ln>
                <a:noFill/>
              </a:ln>
              <a:effectLst/>
            </c:spPr>
            <c:txPr>
              <a:bodyPr/>
              <a:lstStyle/>
              <a:p>
                <a:pPr algn="ctr">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Φύλλο1!$A$2:$A$26</c:f>
              <c:strCache>
                <c:ptCount val="25"/>
                <c:pt idx="0">
                  <c:v>ΚΛΑΔΟΣ</c:v>
                </c:pt>
                <c:pt idx="1">
                  <c:v>Εμπόριο</c:v>
                </c:pt>
                <c:pt idx="2">
                  <c:v>Μεταποίηση- βιοτεχνία</c:v>
                </c:pt>
                <c:pt idx="3">
                  <c:v>Υπηρεσίες</c:v>
                </c:pt>
                <c:pt idx="4">
                  <c:v>ΕΤΗ ΛΕΙΤΟΥΡΓΙΑΣ</c:v>
                </c:pt>
                <c:pt idx="5">
                  <c:v>έως 5 χρόνια</c:v>
                </c:pt>
                <c:pt idx="6">
                  <c:v>5-10 χρόνια</c:v>
                </c:pt>
                <c:pt idx="7">
                  <c:v>10-15 χρόνια</c:v>
                </c:pt>
                <c:pt idx="8">
                  <c:v>15 και άνω</c:v>
                </c:pt>
                <c:pt idx="9">
                  <c:v>ΕΤΗΣΙΟΣ ΤΖΙΡΟΣ</c:v>
                </c:pt>
                <c:pt idx="10">
                  <c:v>Έως 50.000</c:v>
                </c:pt>
                <c:pt idx="11">
                  <c:v>50.000-100.000</c:v>
                </c:pt>
                <c:pt idx="12">
                  <c:v>100.000- 300.000</c:v>
                </c:pt>
                <c:pt idx="13">
                  <c:v>Πάνω από 300.000</c:v>
                </c:pt>
                <c:pt idx="14">
                  <c:v>ΠΕΡΙΟΧΗ</c:v>
                </c:pt>
                <c:pt idx="15">
                  <c:v>EL1_ATTIKH</c:v>
                </c:pt>
                <c:pt idx="16">
                  <c:v>EL2_ΝΗΣΙΑ ΑΙΓΑΙΟΥ &amp; ΚΡΗΤΗ</c:v>
                </c:pt>
                <c:pt idx="17">
                  <c:v>EL3_ΒΟΡΕΙΑ ΕΛΛΑΔΑ</c:v>
                </c:pt>
                <c:pt idx="18">
                  <c:v>EL4_ΚΕΝΤΡΙΚΗ ΕΛΛΑΔΑ</c:v>
                </c:pt>
                <c:pt idx="19">
                  <c:v>ΑΡ. ΕΡΓΑΖΟΜΕΝΩΝ</c:v>
                </c:pt>
                <c:pt idx="20">
                  <c:v>Χωρίς προσωπικό</c:v>
                </c:pt>
                <c:pt idx="21">
                  <c:v>1 άτομο</c:v>
                </c:pt>
                <c:pt idx="22">
                  <c:v>2-3 άτομα</c:v>
                </c:pt>
                <c:pt idx="23">
                  <c:v>4-5 άτομα</c:v>
                </c:pt>
                <c:pt idx="24">
                  <c:v>Πάνω από 5 άτομα</c:v>
                </c:pt>
              </c:strCache>
            </c:strRef>
          </c:cat>
          <c:val>
            <c:numRef>
              <c:f>Φύλλο1!$C$2:$C$26</c:f>
              <c:numCache>
                <c:formatCode>General</c:formatCode>
                <c:ptCount val="25"/>
                <c:pt idx="1">
                  <c:v>69.599999999999994</c:v>
                </c:pt>
                <c:pt idx="2">
                  <c:v>70.099999999999994</c:v>
                </c:pt>
                <c:pt idx="3">
                  <c:v>72</c:v>
                </c:pt>
                <c:pt idx="5">
                  <c:v>65.5</c:v>
                </c:pt>
                <c:pt idx="6">
                  <c:v>67.2</c:v>
                </c:pt>
                <c:pt idx="7">
                  <c:v>64.3</c:v>
                </c:pt>
                <c:pt idx="8">
                  <c:v>72.099999999999994</c:v>
                </c:pt>
                <c:pt idx="10">
                  <c:v>78.2</c:v>
                </c:pt>
                <c:pt idx="11">
                  <c:v>70.5</c:v>
                </c:pt>
                <c:pt idx="12">
                  <c:v>73.900000000000006</c:v>
                </c:pt>
                <c:pt idx="13">
                  <c:v>50.7</c:v>
                </c:pt>
                <c:pt idx="15">
                  <c:v>64.8</c:v>
                </c:pt>
                <c:pt idx="16">
                  <c:v>76.900000000000006</c:v>
                </c:pt>
                <c:pt idx="17">
                  <c:v>69.400000000000006</c:v>
                </c:pt>
                <c:pt idx="18">
                  <c:v>77.7</c:v>
                </c:pt>
                <c:pt idx="20">
                  <c:v>75.599999999999994</c:v>
                </c:pt>
                <c:pt idx="21">
                  <c:v>76.5</c:v>
                </c:pt>
                <c:pt idx="22">
                  <c:v>68.099999999999994</c:v>
                </c:pt>
                <c:pt idx="23">
                  <c:v>72.7</c:v>
                </c:pt>
                <c:pt idx="24">
                  <c:v>57.9</c:v>
                </c:pt>
              </c:numCache>
            </c:numRef>
          </c:val>
          <c:extLst>
            <c:ext xmlns:c16="http://schemas.microsoft.com/office/drawing/2014/chart" uri="{C3380CC4-5D6E-409C-BE32-E72D297353CC}">
              <c16:uniqueId val="{00000001-95A1-4057-BF4E-99C80535FDFB}"/>
            </c:ext>
          </c:extLst>
        </c:ser>
        <c:ser>
          <c:idx val="2"/>
          <c:order val="2"/>
          <c:tx>
            <c:strRef>
              <c:f>Φύλλο1!$D$1</c:f>
              <c:strCache>
                <c:ptCount val="1"/>
                <c:pt idx="0">
                  <c:v>αμετάβλητος/η</c:v>
                </c:pt>
              </c:strCache>
            </c:strRef>
          </c:tx>
          <c:spPr>
            <a:solidFill>
              <a:schemeClr val="accent1">
                <a:lumMod val="75000"/>
              </a:schemeClr>
            </a:solidFill>
          </c:spPr>
          <c:invertIfNegative val="0"/>
          <c:dLbls>
            <c:spPr>
              <a:noFill/>
              <a:ln>
                <a:noFill/>
              </a:ln>
              <a:effectLst/>
            </c:spPr>
            <c:txPr>
              <a:bodyPr/>
              <a:lstStyle/>
              <a:p>
                <a:pPr algn="ctr">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Φύλλο1!$A$2:$A$26</c:f>
              <c:strCache>
                <c:ptCount val="25"/>
                <c:pt idx="0">
                  <c:v>ΚΛΑΔΟΣ</c:v>
                </c:pt>
                <c:pt idx="1">
                  <c:v>Εμπόριο</c:v>
                </c:pt>
                <c:pt idx="2">
                  <c:v>Μεταποίηση- βιοτεχνία</c:v>
                </c:pt>
                <c:pt idx="3">
                  <c:v>Υπηρεσίες</c:v>
                </c:pt>
                <c:pt idx="4">
                  <c:v>ΕΤΗ ΛΕΙΤΟΥΡΓΙΑΣ</c:v>
                </c:pt>
                <c:pt idx="5">
                  <c:v>έως 5 χρόνια</c:v>
                </c:pt>
                <c:pt idx="6">
                  <c:v>5-10 χρόνια</c:v>
                </c:pt>
                <c:pt idx="7">
                  <c:v>10-15 χρόνια</c:v>
                </c:pt>
                <c:pt idx="8">
                  <c:v>15 και άνω</c:v>
                </c:pt>
                <c:pt idx="9">
                  <c:v>ΕΤΗΣΙΟΣ ΤΖΙΡΟΣ</c:v>
                </c:pt>
                <c:pt idx="10">
                  <c:v>Έως 50.000</c:v>
                </c:pt>
                <c:pt idx="11">
                  <c:v>50.000-100.000</c:v>
                </c:pt>
                <c:pt idx="12">
                  <c:v>100.000- 300.000</c:v>
                </c:pt>
                <c:pt idx="13">
                  <c:v>Πάνω από 300.000</c:v>
                </c:pt>
                <c:pt idx="14">
                  <c:v>ΠΕΡΙΟΧΗ</c:v>
                </c:pt>
                <c:pt idx="15">
                  <c:v>EL1_ATTIKH</c:v>
                </c:pt>
                <c:pt idx="16">
                  <c:v>EL2_ΝΗΣΙΑ ΑΙΓΑΙΟΥ &amp; ΚΡΗΤΗ</c:v>
                </c:pt>
                <c:pt idx="17">
                  <c:v>EL3_ΒΟΡΕΙΑ ΕΛΛΑΔΑ</c:v>
                </c:pt>
                <c:pt idx="18">
                  <c:v>EL4_ΚΕΝΤΡΙΚΗ ΕΛΛΑΔΑ</c:v>
                </c:pt>
                <c:pt idx="19">
                  <c:v>ΑΡ. ΕΡΓΑΖΟΜΕΝΩΝ</c:v>
                </c:pt>
                <c:pt idx="20">
                  <c:v>Χωρίς προσωπικό</c:v>
                </c:pt>
                <c:pt idx="21">
                  <c:v>1 άτομο</c:v>
                </c:pt>
                <c:pt idx="22">
                  <c:v>2-3 άτομα</c:v>
                </c:pt>
                <c:pt idx="23">
                  <c:v>4-5 άτομα</c:v>
                </c:pt>
                <c:pt idx="24">
                  <c:v>Πάνω από 5 άτομα</c:v>
                </c:pt>
              </c:strCache>
            </c:strRef>
          </c:cat>
          <c:val>
            <c:numRef>
              <c:f>Φύλλο1!$D$2:$D$26</c:f>
              <c:numCache>
                <c:formatCode>General</c:formatCode>
                <c:ptCount val="25"/>
                <c:pt idx="1">
                  <c:v>15.5</c:v>
                </c:pt>
                <c:pt idx="2">
                  <c:v>18.600000000000001</c:v>
                </c:pt>
                <c:pt idx="3">
                  <c:v>17</c:v>
                </c:pt>
                <c:pt idx="5">
                  <c:v>16.399999999999999</c:v>
                </c:pt>
                <c:pt idx="6">
                  <c:v>16.399999999999999</c:v>
                </c:pt>
                <c:pt idx="7">
                  <c:v>18.600000000000001</c:v>
                </c:pt>
                <c:pt idx="8">
                  <c:v>16.8</c:v>
                </c:pt>
                <c:pt idx="10">
                  <c:v>12.6</c:v>
                </c:pt>
                <c:pt idx="11">
                  <c:v>16.8</c:v>
                </c:pt>
                <c:pt idx="12">
                  <c:v>16.5</c:v>
                </c:pt>
                <c:pt idx="13">
                  <c:v>24.6</c:v>
                </c:pt>
                <c:pt idx="15">
                  <c:v>23.5</c:v>
                </c:pt>
                <c:pt idx="16">
                  <c:v>5.8</c:v>
                </c:pt>
                <c:pt idx="17">
                  <c:v>16.7</c:v>
                </c:pt>
                <c:pt idx="18">
                  <c:v>12.8</c:v>
                </c:pt>
                <c:pt idx="20">
                  <c:v>12.4</c:v>
                </c:pt>
                <c:pt idx="21">
                  <c:v>14.1</c:v>
                </c:pt>
                <c:pt idx="22">
                  <c:v>22.1</c:v>
                </c:pt>
                <c:pt idx="23">
                  <c:v>13</c:v>
                </c:pt>
                <c:pt idx="24">
                  <c:v>23.7</c:v>
                </c:pt>
              </c:numCache>
            </c:numRef>
          </c:val>
          <c:extLst>
            <c:ext xmlns:c16="http://schemas.microsoft.com/office/drawing/2014/chart" uri="{C3380CC4-5D6E-409C-BE32-E72D297353CC}">
              <c16:uniqueId val="{00000002-95A1-4057-BF4E-99C80535FDFB}"/>
            </c:ext>
          </c:extLst>
        </c:ser>
        <c:ser>
          <c:idx val="3"/>
          <c:order val="3"/>
          <c:tx>
            <c:strRef>
              <c:f>Φύλλο1!$E$1</c:f>
              <c:strCache>
                <c:ptCount val="1"/>
                <c:pt idx="0">
                  <c:v>Δ.Α</c:v>
                </c:pt>
              </c:strCache>
            </c:strRef>
          </c:tx>
          <c:spPr>
            <a:solidFill>
              <a:schemeClr val="bg1">
                <a:lumMod val="50000"/>
              </a:schemeClr>
            </a:solidFill>
          </c:spPr>
          <c:invertIfNegative val="0"/>
          <c:dLbls>
            <c:dLbl>
              <c:idx val="1"/>
              <c:layout>
                <c:manualLayout>
                  <c:x val="1.798692343456161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A1-4057-BF4E-99C80535FDFB}"/>
                </c:ext>
              </c:extLst>
            </c:dLbl>
            <c:dLbl>
              <c:idx val="2"/>
              <c:layout>
                <c:manualLayout>
                  <c:x val="1.4469730105304468E-2"/>
                  <c:y val="2.062207437618195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5A1-4057-BF4E-99C80535FDFB}"/>
                </c:ext>
              </c:extLst>
            </c:dLbl>
            <c:dLbl>
              <c:idx val="3"/>
              <c:layout>
                <c:manualLayout>
                  <c:x val="2.301970532685910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A1-4057-BF4E-99C80535FDFB}"/>
                </c:ext>
              </c:extLst>
            </c:dLbl>
            <c:dLbl>
              <c:idx val="4"/>
              <c:layout>
                <c:manualLayout>
                  <c:x val="1.5474077226713182E-2"/>
                  <c:y val="-2.290510289621499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5A1-4057-BF4E-99C80535FDFB}"/>
                </c:ext>
              </c:extLst>
            </c:dLbl>
            <c:dLbl>
              <c:idx val="5"/>
              <c:layout>
                <c:manualLayout>
                  <c:x val="4.0370920057114484E-2"/>
                  <c:y val="-5.7814671662282813E-3"/>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219533365327077E-2"/>
                      <c:h val="4.7296813462226986E-2"/>
                    </c:manualLayout>
                  </c15:layout>
                </c:ext>
                <c:ext xmlns:c16="http://schemas.microsoft.com/office/drawing/2014/chart" uri="{C3380CC4-5D6E-409C-BE32-E72D297353CC}">
                  <c16:uniqueId val="{00000007-95A1-4057-BF4E-99C80535FDFB}"/>
                </c:ext>
              </c:extLst>
            </c:dLbl>
            <c:dLbl>
              <c:idx val="6"/>
              <c:delete val="1"/>
              <c:extLst>
                <c:ext xmlns:c15="http://schemas.microsoft.com/office/drawing/2012/chart" uri="{CE6537A1-D6FC-4f65-9D91-7224C49458BB}"/>
                <c:ext xmlns:c16="http://schemas.microsoft.com/office/drawing/2014/chart" uri="{C3380CC4-5D6E-409C-BE32-E72D297353CC}">
                  <c16:uniqueId val="{00000016-95A1-4057-BF4E-99C80535FDFB}"/>
                </c:ext>
              </c:extLst>
            </c:dLbl>
            <c:dLbl>
              <c:idx val="7"/>
              <c:layout>
                <c:manualLayout>
                  <c:x val="1.7986923434561614E-2"/>
                  <c:y val="2.249706829543079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5A1-4057-BF4E-99C80535FDFB}"/>
                </c:ext>
              </c:extLst>
            </c:dLbl>
            <c:dLbl>
              <c:idx val="8"/>
              <c:layout>
                <c:manualLayout>
                  <c:x val="8.3975249883193725E-3"/>
                  <c:y val="2.249706829543120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5A1-4057-BF4E-99C80535FDFB}"/>
                </c:ext>
              </c:extLst>
            </c:dLbl>
            <c:dLbl>
              <c:idx val="10"/>
              <c:layout>
                <c:manualLayout>
                  <c:x val="1.4471355735020825E-2"/>
                  <c:y val="-2.249706829542996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5A1-4057-BF4E-99C80535FDFB}"/>
                </c:ext>
              </c:extLst>
            </c:dLbl>
            <c:dLbl>
              <c:idx val="11"/>
              <c:layout>
                <c:manualLayout>
                  <c:x val="1.4851179336984051E-2"/>
                  <c:y val="-1.124853414771539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5A1-4057-BF4E-99C80535FDFB}"/>
                </c:ext>
              </c:extLst>
            </c:dLbl>
            <c:dLbl>
              <c:idx val="13"/>
              <c:layout>
                <c:manualLayout>
                  <c:x val="1.3230297439318181E-2"/>
                  <c:y val="4.9594244599495312E-3"/>
                </c:manualLayout>
              </c:layout>
              <c:spPr>
                <a:noFill/>
                <a:ln>
                  <a:noFill/>
                </a:ln>
                <a:effectLst/>
              </c:spPr>
              <c:txPr>
                <a:bodyPr/>
                <a:lstStyle/>
                <a:p>
                  <a:pPr>
                    <a:defRPr sz="800"/>
                  </a:pPr>
                  <a:endParaRPr lang="el-GR"/>
                </a:p>
              </c:txPr>
              <c:dLblPos val="ctr"/>
              <c:showLegendKey val="0"/>
              <c:showVal val="1"/>
              <c:showCatName val="0"/>
              <c:showSerName val="0"/>
              <c:showPercent val="0"/>
              <c:showBubbleSize val="0"/>
              <c:extLst>
                <c:ext xmlns:c15="http://schemas.microsoft.com/office/drawing/2012/chart" uri="{CE6537A1-D6FC-4f65-9D91-7224C49458BB}">
                  <c15:layout>
                    <c:manualLayout>
                      <c:w val="4.5579086756367647E-2"/>
                      <c:h val="4.932832644039796E-2"/>
                    </c:manualLayout>
                  </c15:layout>
                </c:ext>
                <c:ext xmlns:c16="http://schemas.microsoft.com/office/drawing/2014/chart" uri="{C3380CC4-5D6E-409C-BE32-E72D297353CC}">
                  <c16:uniqueId val="{0000000C-95A1-4057-BF4E-99C80535FDFB}"/>
                </c:ext>
              </c:extLst>
            </c:dLbl>
            <c:dLbl>
              <c:idx val="15"/>
              <c:layout>
                <c:manualLayout>
                  <c:x val="2.037898974954401E-2"/>
                  <c:y val="4.499590801356283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5A1-4057-BF4E-99C80535FDFB}"/>
                </c:ext>
              </c:extLst>
            </c:dLbl>
            <c:dLbl>
              <c:idx val="16"/>
              <c:layout>
                <c:manualLayout>
                  <c:x val="1.4469730105304468E-2"/>
                  <c:y val="2.249706829543079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5A1-4057-BF4E-99C80535FDFB}"/>
                </c:ext>
              </c:extLst>
            </c:dLbl>
            <c:dLbl>
              <c:idx val="17"/>
              <c:layout>
                <c:manualLayout>
                  <c:x val="1.447135573502082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5A1-4057-BF4E-99C80535FDFB}"/>
                </c:ext>
              </c:extLst>
            </c:dLbl>
            <c:dLbl>
              <c:idx val="19"/>
              <c:layout>
                <c:manualLayout>
                  <c:x val="3.4240374435520235E-2"/>
                  <c:y val="-4.581020579243040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5A1-4057-BF4E-99C80535FDFB}"/>
                </c:ext>
              </c:extLst>
            </c:dLbl>
            <c:dLbl>
              <c:idx val="20"/>
              <c:layout>
                <c:manualLayout>
                  <c:x val="1.614651934508925E-2"/>
                  <c:y val="8.998827318172317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5A1-4057-BF4E-99C80535FDFB}"/>
                </c:ext>
              </c:extLst>
            </c:dLbl>
            <c:dLbl>
              <c:idx val="21"/>
              <c:layout>
                <c:manualLayout>
                  <c:x val="1.9172198748341619E-2"/>
                  <c:y val="6.749297630899280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5A1-4057-BF4E-99C80535FDFB}"/>
                </c:ext>
              </c:extLst>
            </c:dLbl>
            <c:dLbl>
              <c:idx val="23"/>
              <c:layout>
                <c:manualLayout>
                  <c:x val="1.4851179336984051E-2"/>
                  <c:y val="4.499413659086158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5A1-4057-BF4E-99C80535FDFB}"/>
                </c:ext>
              </c:extLst>
            </c:dLbl>
            <c:dLbl>
              <c:idx val="24"/>
              <c:layout>
                <c:manualLayout>
                  <c:x val="1.4851179336984051E-2"/>
                  <c:y val="8.998827318172317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5A1-4057-BF4E-99C80535FDFB}"/>
                </c:ext>
              </c:extLst>
            </c:dLbl>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Φύλλο1!$A$2:$A$26</c:f>
              <c:strCache>
                <c:ptCount val="25"/>
                <c:pt idx="0">
                  <c:v>ΚΛΑΔΟΣ</c:v>
                </c:pt>
                <c:pt idx="1">
                  <c:v>Εμπόριο</c:v>
                </c:pt>
                <c:pt idx="2">
                  <c:v>Μεταποίηση- βιοτεχνία</c:v>
                </c:pt>
                <c:pt idx="3">
                  <c:v>Υπηρεσίες</c:v>
                </c:pt>
                <c:pt idx="4">
                  <c:v>ΕΤΗ ΛΕΙΤΟΥΡΓΙΑΣ</c:v>
                </c:pt>
                <c:pt idx="5">
                  <c:v>έως 5 χρόνια</c:v>
                </c:pt>
                <c:pt idx="6">
                  <c:v>5-10 χρόνια</c:v>
                </c:pt>
                <c:pt idx="7">
                  <c:v>10-15 χρόνια</c:v>
                </c:pt>
                <c:pt idx="8">
                  <c:v>15 και άνω</c:v>
                </c:pt>
                <c:pt idx="9">
                  <c:v>ΕΤΗΣΙΟΣ ΤΖΙΡΟΣ</c:v>
                </c:pt>
                <c:pt idx="10">
                  <c:v>Έως 50.000</c:v>
                </c:pt>
                <c:pt idx="11">
                  <c:v>50.000-100.000</c:v>
                </c:pt>
                <c:pt idx="12">
                  <c:v>100.000- 300.000</c:v>
                </c:pt>
                <c:pt idx="13">
                  <c:v>Πάνω από 300.000</c:v>
                </c:pt>
                <c:pt idx="14">
                  <c:v>ΠΕΡΙΟΧΗ</c:v>
                </c:pt>
                <c:pt idx="15">
                  <c:v>EL1_ATTIKH</c:v>
                </c:pt>
                <c:pt idx="16">
                  <c:v>EL2_ΝΗΣΙΑ ΑΙΓΑΙΟΥ &amp; ΚΡΗΤΗ</c:v>
                </c:pt>
                <c:pt idx="17">
                  <c:v>EL3_ΒΟΡΕΙΑ ΕΛΛΑΔΑ</c:v>
                </c:pt>
                <c:pt idx="18">
                  <c:v>EL4_ΚΕΝΤΡΙΚΗ ΕΛΛΑΔΑ</c:v>
                </c:pt>
                <c:pt idx="19">
                  <c:v>ΑΡ. ΕΡΓΑΖΟΜΕΝΩΝ</c:v>
                </c:pt>
                <c:pt idx="20">
                  <c:v>Χωρίς προσωπικό</c:v>
                </c:pt>
                <c:pt idx="21">
                  <c:v>1 άτομο</c:v>
                </c:pt>
                <c:pt idx="22">
                  <c:v>2-3 άτομα</c:v>
                </c:pt>
                <c:pt idx="23">
                  <c:v>4-5 άτομα</c:v>
                </c:pt>
                <c:pt idx="24">
                  <c:v>Πάνω από 5 άτομα</c:v>
                </c:pt>
              </c:strCache>
            </c:strRef>
          </c:cat>
          <c:val>
            <c:numRef>
              <c:f>Φύλλο1!$E$2:$E$26</c:f>
              <c:numCache>
                <c:formatCode>General</c:formatCode>
                <c:ptCount val="25"/>
                <c:pt idx="1">
                  <c:v>1.4</c:v>
                </c:pt>
                <c:pt idx="2">
                  <c:v>1</c:v>
                </c:pt>
                <c:pt idx="3">
                  <c:v>1.6</c:v>
                </c:pt>
                <c:pt idx="5">
                  <c:v>7.3</c:v>
                </c:pt>
                <c:pt idx="6">
                  <c:v>0</c:v>
                </c:pt>
                <c:pt idx="7">
                  <c:v>1.4</c:v>
                </c:pt>
                <c:pt idx="8">
                  <c:v>1</c:v>
                </c:pt>
                <c:pt idx="10">
                  <c:v>1.4</c:v>
                </c:pt>
                <c:pt idx="11">
                  <c:v>1.3</c:v>
                </c:pt>
                <c:pt idx="12">
                  <c:v>0.9</c:v>
                </c:pt>
                <c:pt idx="13">
                  <c:v>1.4</c:v>
                </c:pt>
                <c:pt idx="15">
                  <c:v>2</c:v>
                </c:pt>
                <c:pt idx="16">
                  <c:v>1</c:v>
                </c:pt>
                <c:pt idx="17">
                  <c:v>1.4</c:v>
                </c:pt>
                <c:pt idx="18">
                  <c:v>0.5</c:v>
                </c:pt>
                <c:pt idx="20">
                  <c:v>1.6</c:v>
                </c:pt>
                <c:pt idx="21">
                  <c:v>2</c:v>
                </c:pt>
                <c:pt idx="22">
                  <c:v>0.6</c:v>
                </c:pt>
                <c:pt idx="23">
                  <c:v>1.3</c:v>
                </c:pt>
                <c:pt idx="24">
                  <c:v>1.3</c:v>
                </c:pt>
              </c:numCache>
            </c:numRef>
          </c:val>
          <c:extLst>
            <c:ext xmlns:c16="http://schemas.microsoft.com/office/drawing/2014/chart" uri="{C3380CC4-5D6E-409C-BE32-E72D297353CC}">
              <c16:uniqueId val="{00000015-95A1-4057-BF4E-99C80535FDFB}"/>
            </c:ext>
          </c:extLst>
        </c:ser>
        <c:dLbls>
          <c:showLegendKey val="0"/>
          <c:showVal val="0"/>
          <c:showCatName val="0"/>
          <c:showSerName val="0"/>
          <c:showPercent val="0"/>
          <c:showBubbleSize val="0"/>
        </c:dLbls>
        <c:gapWidth val="30"/>
        <c:overlap val="100"/>
        <c:axId val="350512640"/>
        <c:axId val="350514176"/>
      </c:barChart>
      <c:catAx>
        <c:axId val="350512640"/>
        <c:scaling>
          <c:orientation val="maxMin"/>
        </c:scaling>
        <c:delete val="0"/>
        <c:axPos val="l"/>
        <c:numFmt formatCode="General" sourceLinked="0"/>
        <c:majorTickMark val="out"/>
        <c:minorTickMark val="none"/>
        <c:tickLblPos val="nextTo"/>
        <c:crossAx val="350514176"/>
        <c:crosses val="autoZero"/>
        <c:auto val="1"/>
        <c:lblAlgn val="ctr"/>
        <c:lblOffset val="100"/>
        <c:noMultiLvlLbl val="0"/>
      </c:catAx>
      <c:valAx>
        <c:axId val="350514176"/>
        <c:scaling>
          <c:orientation val="minMax"/>
        </c:scaling>
        <c:delete val="0"/>
        <c:axPos val="b"/>
        <c:majorGridlines/>
        <c:numFmt formatCode="0%" sourceLinked="1"/>
        <c:majorTickMark val="out"/>
        <c:minorTickMark val="none"/>
        <c:tickLblPos val="nextTo"/>
        <c:crossAx val="350512640"/>
        <c:crosses val="max"/>
        <c:crossBetween val="between"/>
      </c:valAx>
    </c:plotArea>
    <c:legend>
      <c:legendPos val="r"/>
      <c:layout>
        <c:manualLayout>
          <c:xMode val="edge"/>
          <c:yMode val="edge"/>
          <c:x val="0.21995343813991242"/>
          <c:y val="1.8591081240987887E-3"/>
          <c:w val="0.75819738122190627"/>
          <c:h val="4.5842669717794694E-2"/>
        </c:manualLayout>
      </c:layout>
      <c:overlay val="0"/>
    </c:legend>
    <c:plotVisOnly val="1"/>
    <c:dispBlanksAs val="gap"/>
    <c:showDLblsOverMax val="0"/>
  </c:chart>
  <c:txPr>
    <a:bodyPr/>
    <a:lstStyle/>
    <a:p>
      <a:pPr>
        <a:defRPr sz="800">
          <a:solidFill>
            <a:schemeClr val="tx1"/>
          </a:solidFill>
          <a:latin typeface="Microsoft JhengHei UI" panose="020B0604030504040204" pitchFamily="34" charset="-120"/>
          <a:ea typeface="Microsoft JhengHei UI" panose="020B0604030504040204" pitchFamily="34" charset="-120"/>
        </a:defRPr>
      </a:pPr>
      <a:endParaRPr lang="el-G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4081303676695857"/>
          <c:y val="2.9090191253951746E-2"/>
          <c:w val="0.60086379291189862"/>
          <c:h val="0.89483427336783616"/>
        </c:manualLayout>
      </c:layout>
      <c:barChart>
        <c:barDir val="bar"/>
        <c:grouping val="clustered"/>
        <c:varyColors val="0"/>
        <c:ser>
          <c:idx val="0"/>
          <c:order val="0"/>
          <c:tx>
            <c:strRef>
              <c:f>Φύλλο1!$B$1</c:f>
              <c:strCache>
                <c:ptCount val="1"/>
                <c:pt idx="0">
                  <c:v>Στήλη1</c:v>
                </c:pt>
              </c:strCache>
            </c:strRef>
          </c:tx>
          <c:spPr>
            <a:solidFill>
              <a:schemeClr val="accent1">
                <a:lumMod val="75000"/>
              </a:schemeClr>
            </a:solidFill>
          </c:spPr>
          <c:invertIfNegative val="0"/>
          <c:dPt>
            <c:idx val="0"/>
            <c:invertIfNegative val="0"/>
            <c:bubble3D val="0"/>
            <c:extLst>
              <c:ext xmlns:c16="http://schemas.microsoft.com/office/drawing/2014/chart" uri="{C3380CC4-5D6E-409C-BE32-E72D297353CC}">
                <c16:uniqueId val="{00000000-5468-43D9-AAB6-1683EBD680CA}"/>
              </c:ext>
            </c:extLst>
          </c:dPt>
          <c:dPt>
            <c:idx val="3"/>
            <c:invertIfNegative val="0"/>
            <c:bubble3D val="0"/>
            <c:extLst>
              <c:ext xmlns:c16="http://schemas.microsoft.com/office/drawing/2014/chart" uri="{C3380CC4-5D6E-409C-BE32-E72D297353CC}">
                <c16:uniqueId val="{00000001-5468-43D9-AAB6-1683EBD680CA}"/>
              </c:ext>
            </c:extLst>
          </c:dPt>
          <c:dPt>
            <c:idx val="10"/>
            <c:invertIfNegative val="0"/>
            <c:bubble3D val="0"/>
            <c:spPr>
              <a:solidFill>
                <a:schemeClr val="tx1">
                  <a:lumMod val="50000"/>
                  <a:lumOff val="50000"/>
                </a:schemeClr>
              </a:solidFill>
            </c:spPr>
            <c:extLst>
              <c:ext xmlns:c16="http://schemas.microsoft.com/office/drawing/2014/chart" uri="{C3380CC4-5D6E-409C-BE32-E72D297353CC}">
                <c16:uniqueId val="{00000003-5468-43D9-AAB6-1683EBD680CA}"/>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Φύλλο1!$A$2:$A$12</c:f>
              <c:strCache>
                <c:ptCount val="11"/>
                <c:pt idx="0">
                  <c:v>Έως 10%</c:v>
                </c:pt>
                <c:pt idx="1">
                  <c:v>11-20%</c:v>
                </c:pt>
                <c:pt idx="2">
                  <c:v>21-30%</c:v>
                </c:pt>
                <c:pt idx="3">
                  <c:v>31-40%</c:v>
                </c:pt>
                <c:pt idx="4">
                  <c:v>41-50%</c:v>
                </c:pt>
                <c:pt idx="5">
                  <c:v>51-60%</c:v>
                </c:pt>
                <c:pt idx="6">
                  <c:v>61-70%</c:v>
                </c:pt>
                <c:pt idx="7">
                  <c:v>71-80%</c:v>
                </c:pt>
                <c:pt idx="8">
                  <c:v>81-90%</c:v>
                </c:pt>
                <c:pt idx="9">
                  <c:v>91-100%</c:v>
                </c:pt>
                <c:pt idx="10">
                  <c:v>ΔΓ/ΔΑ</c:v>
                </c:pt>
              </c:strCache>
            </c:strRef>
          </c:cat>
          <c:val>
            <c:numRef>
              <c:f>Φύλλο1!$B$2:$B$12</c:f>
              <c:numCache>
                <c:formatCode>General</c:formatCode>
                <c:ptCount val="11"/>
                <c:pt idx="0">
                  <c:v>4.8</c:v>
                </c:pt>
                <c:pt idx="1">
                  <c:v>11.1</c:v>
                </c:pt>
                <c:pt idx="2">
                  <c:v>18</c:v>
                </c:pt>
                <c:pt idx="3">
                  <c:v>14.3</c:v>
                </c:pt>
                <c:pt idx="4">
                  <c:v>12.2</c:v>
                </c:pt>
                <c:pt idx="5">
                  <c:v>10.1</c:v>
                </c:pt>
                <c:pt idx="6">
                  <c:v>9</c:v>
                </c:pt>
                <c:pt idx="7">
                  <c:v>6.2</c:v>
                </c:pt>
                <c:pt idx="8">
                  <c:v>6.2</c:v>
                </c:pt>
                <c:pt idx="9">
                  <c:v>3.9</c:v>
                </c:pt>
                <c:pt idx="10">
                  <c:v>4.2</c:v>
                </c:pt>
              </c:numCache>
            </c:numRef>
          </c:val>
          <c:extLst>
            <c:ext xmlns:c16="http://schemas.microsoft.com/office/drawing/2014/chart" uri="{C3380CC4-5D6E-409C-BE32-E72D297353CC}">
              <c16:uniqueId val="{00000004-5468-43D9-AAB6-1683EBD680CA}"/>
            </c:ext>
          </c:extLst>
        </c:ser>
        <c:dLbls>
          <c:showLegendKey val="0"/>
          <c:showVal val="0"/>
          <c:showCatName val="0"/>
          <c:showSerName val="0"/>
          <c:showPercent val="0"/>
          <c:showBubbleSize val="0"/>
        </c:dLbls>
        <c:gapWidth val="75"/>
        <c:axId val="350574080"/>
        <c:axId val="350575616"/>
      </c:barChart>
      <c:catAx>
        <c:axId val="350574080"/>
        <c:scaling>
          <c:orientation val="maxMin"/>
        </c:scaling>
        <c:delete val="0"/>
        <c:axPos val="l"/>
        <c:numFmt formatCode="General" sourceLinked="0"/>
        <c:majorTickMark val="out"/>
        <c:minorTickMark val="none"/>
        <c:tickLblPos val="nextTo"/>
        <c:crossAx val="350575616"/>
        <c:crosses val="autoZero"/>
        <c:auto val="1"/>
        <c:lblAlgn val="ctr"/>
        <c:lblOffset val="100"/>
        <c:noMultiLvlLbl val="0"/>
      </c:catAx>
      <c:valAx>
        <c:axId val="350575616"/>
        <c:scaling>
          <c:orientation val="minMax"/>
          <c:max val="30"/>
          <c:min val="0"/>
        </c:scaling>
        <c:delete val="0"/>
        <c:axPos val="b"/>
        <c:majorGridlines>
          <c:spPr>
            <a:ln>
              <a:solidFill>
                <a:schemeClr val="bg1">
                  <a:lumMod val="85000"/>
                </a:schemeClr>
              </a:solidFill>
            </a:ln>
          </c:spPr>
        </c:majorGridlines>
        <c:numFmt formatCode="General" sourceLinked="1"/>
        <c:majorTickMark val="out"/>
        <c:minorTickMark val="none"/>
        <c:tickLblPos val="nextTo"/>
        <c:crossAx val="350574080"/>
        <c:crosses val="max"/>
        <c:crossBetween val="between"/>
        <c:majorUnit val="10"/>
      </c:valAx>
    </c:plotArea>
    <c:plotVisOnly val="1"/>
    <c:dispBlanksAs val="gap"/>
    <c:showDLblsOverMax val="0"/>
  </c:chart>
  <c:txPr>
    <a:bodyPr/>
    <a:lstStyle/>
    <a:p>
      <a:pPr>
        <a:defRPr sz="1000">
          <a:solidFill>
            <a:schemeClr val="tx1"/>
          </a:solidFill>
          <a:latin typeface="Microsoft JhengHei UI" panose="020B0604030504040204" pitchFamily="34" charset="-120"/>
          <a:ea typeface="Microsoft JhengHei UI" panose="020B0604030504040204" pitchFamily="34" charset="-120"/>
        </a:defRPr>
      </a:pPr>
      <a:endParaRPr lang="el-G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Γράφημα 7</a:t>
            </a:r>
          </a:p>
          <a:p>
            <a:pPr>
              <a:defRPr sz="1400" b="0" i="0" u="none" strike="noStrike" kern="1200" spc="0" baseline="0">
                <a:solidFill>
                  <a:schemeClr val="tx1">
                    <a:lumMod val="65000"/>
                    <a:lumOff val="35000"/>
                  </a:schemeClr>
                </a:solidFill>
                <a:latin typeface="+mn-lt"/>
                <a:ea typeface="+mn-ea"/>
                <a:cs typeface="+mn-cs"/>
              </a:defRPr>
            </a:pPr>
            <a:r>
              <a:rPr lang="el-GR"/>
              <a:t>ΕΤΗΣΙΟΣ</a:t>
            </a:r>
            <a:r>
              <a:rPr lang="el-GR" baseline="0"/>
              <a:t> ΚΥΚΛΟΣ ΕΡΓΑΣΙΩΝ</a:t>
            </a:r>
            <a:endParaRPr lang="el-GR"/>
          </a:p>
        </c:rich>
      </c:tx>
      <c:overlay val="0"/>
      <c:spPr>
        <a:noFill/>
        <a:ln>
          <a:noFill/>
        </a:ln>
        <a:effectLst/>
      </c:spPr>
    </c:title>
    <c:autoTitleDeleted val="0"/>
    <c:plotArea>
      <c:layout/>
      <c:barChart>
        <c:barDir val="col"/>
        <c:grouping val="clustered"/>
        <c:varyColors val="0"/>
        <c:ser>
          <c:idx val="0"/>
          <c:order val="0"/>
          <c:tx>
            <c:strRef>
              <c:f>Φύλλο1!$C$2</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Φύλλο1!$B$3:$B$8</c:f>
              <c:strCache>
                <c:ptCount val="6"/>
                <c:pt idx="0">
                  <c:v>Κάτω από 50.000 €</c:v>
                </c:pt>
                <c:pt idx="1">
                  <c:v>50.000 - 100.000 €</c:v>
                </c:pt>
                <c:pt idx="2">
                  <c:v>100.000 - 300.000 €</c:v>
                </c:pt>
                <c:pt idx="3">
                  <c:v>300.000 - 500.000 €</c:v>
                </c:pt>
                <c:pt idx="4">
                  <c:v>500.000 - 1.000.000 €</c:v>
                </c:pt>
                <c:pt idx="5">
                  <c:v>Πάνω από 1.000.000 €</c:v>
                </c:pt>
              </c:strCache>
            </c:strRef>
          </c:cat>
          <c:val>
            <c:numRef>
              <c:f>Φύλλο1!$C$3:$C$8</c:f>
              <c:numCache>
                <c:formatCode>General</c:formatCode>
                <c:ptCount val="6"/>
                <c:pt idx="0">
                  <c:v>44.6</c:v>
                </c:pt>
                <c:pt idx="1">
                  <c:v>18.600000000000001</c:v>
                </c:pt>
                <c:pt idx="2">
                  <c:v>14.4</c:v>
                </c:pt>
                <c:pt idx="3">
                  <c:v>5.7</c:v>
                </c:pt>
                <c:pt idx="4">
                  <c:v>4.2</c:v>
                </c:pt>
                <c:pt idx="5">
                  <c:v>7.2</c:v>
                </c:pt>
              </c:numCache>
            </c:numRef>
          </c:val>
          <c:extLst>
            <c:ext xmlns:c16="http://schemas.microsoft.com/office/drawing/2014/chart" uri="{C3380CC4-5D6E-409C-BE32-E72D297353CC}">
              <c16:uniqueId val="{00000000-E9D3-4469-BA97-CC456A7E100E}"/>
            </c:ext>
          </c:extLst>
        </c:ser>
        <c:ser>
          <c:idx val="1"/>
          <c:order val="1"/>
          <c:tx>
            <c:strRef>
              <c:f>Φύλλο1!$D$2</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Φύλλο1!$B$3:$B$8</c:f>
              <c:strCache>
                <c:ptCount val="6"/>
                <c:pt idx="0">
                  <c:v>Κάτω από 50.000 €</c:v>
                </c:pt>
                <c:pt idx="1">
                  <c:v>50.000 - 100.000 €</c:v>
                </c:pt>
                <c:pt idx="2">
                  <c:v>100.000 - 300.000 €</c:v>
                </c:pt>
                <c:pt idx="3">
                  <c:v>300.000 - 500.000 €</c:v>
                </c:pt>
                <c:pt idx="4">
                  <c:v>500.000 - 1.000.000 €</c:v>
                </c:pt>
                <c:pt idx="5">
                  <c:v>Πάνω από 1.000.000 €</c:v>
                </c:pt>
              </c:strCache>
            </c:strRef>
          </c:cat>
          <c:val>
            <c:numRef>
              <c:f>Φύλλο1!$D$3:$D$8</c:f>
              <c:numCache>
                <c:formatCode>General</c:formatCode>
                <c:ptCount val="6"/>
                <c:pt idx="0">
                  <c:v>34.1</c:v>
                </c:pt>
                <c:pt idx="1">
                  <c:v>15.9</c:v>
                </c:pt>
                <c:pt idx="2">
                  <c:v>19.899999999999999</c:v>
                </c:pt>
                <c:pt idx="3">
                  <c:v>8.6999999999999993</c:v>
                </c:pt>
                <c:pt idx="4">
                  <c:v>5.0999999999999996</c:v>
                </c:pt>
                <c:pt idx="5">
                  <c:v>8.1999999999999993</c:v>
                </c:pt>
              </c:numCache>
            </c:numRef>
          </c:val>
          <c:extLst>
            <c:ext xmlns:c16="http://schemas.microsoft.com/office/drawing/2014/chart" uri="{C3380CC4-5D6E-409C-BE32-E72D297353CC}">
              <c16:uniqueId val="{00000001-E9D3-4469-BA97-CC456A7E100E}"/>
            </c:ext>
          </c:extLst>
        </c:ser>
        <c:dLbls>
          <c:showLegendKey val="0"/>
          <c:showVal val="0"/>
          <c:showCatName val="0"/>
          <c:showSerName val="0"/>
          <c:showPercent val="0"/>
          <c:showBubbleSize val="0"/>
        </c:dLbls>
        <c:gapWidth val="219"/>
        <c:overlap val="-27"/>
        <c:axId val="350647808"/>
        <c:axId val="350649344"/>
      </c:barChart>
      <c:catAx>
        <c:axId val="35064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50649344"/>
        <c:crosses val="autoZero"/>
        <c:auto val="1"/>
        <c:lblAlgn val="ctr"/>
        <c:lblOffset val="100"/>
        <c:noMultiLvlLbl val="0"/>
      </c:catAx>
      <c:valAx>
        <c:axId val="35064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50647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368440543643293E-2"/>
          <c:y val="0.11354917974070991"/>
          <c:w val="0.83636413083731453"/>
          <c:h val="0.75969981620430838"/>
        </c:manualLayout>
      </c:layout>
      <c:barChart>
        <c:barDir val="col"/>
        <c:grouping val="clustered"/>
        <c:varyColors val="0"/>
        <c:ser>
          <c:idx val="0"/>
          <c:order val="0"/>
          <c:tx>
            <c:strRef>
              <c:f>Φύλλο1!$B$1</c:f>
              <c:strCache>
                <c:ptCount val="1"/>
                <c:pt idx="0">
                  <c:v>Ισολογισμός 2020</c:v>
                </c:pt>
              </c:strCache>
            </c:strRef>
          </c:tx>
          <c:spPr>
            <a:solidFill>
              <a:schemeClr val="accent1">
                <a:lumMod val="75000"/>
              </a:schemeClr>
            </a:solidFill>
          </c:spPr>
          <c:invertIfNegative val="0"/>
          <c:dPt>
            <c:idx val="0"/>
            <c:invertIfNegative val="0"/>
            <c:bubble3D val="0"/>
            <c:extLst>
              <c:ext xmlns:c16="http://schemas.microsoft.com/office/drawing/2014/chart" uri="{C3380CC4-5D6E-409C-BE32-E72D297353CC}">
                <c16:uniqueId val="{00000000-59FA-4AD7-8DC1-3C83318B60C3}"/>
              </c:ext>
            </c:extLst>
          </c:dPt>
          <c:dPt>
            <c:idx val="3"/>
            <c:invertIfNegative val="0"/>
            <c:bubble3D val="0"/>
            <c:extLst>
              <c:ext xmlns:c16="http://schemas.microsoft.com/office/drawing/2014/chart" uri="{C3380CC4-5D6E-409C-BE32-E72D297353CC}">
                <c16:uniqueId val="{00000001-59FA-4AD7-8DC1-3C83318B60C3}"/>
              </c:ext>
            </c:extLst>
          </c:dPt>
          <c:dLbls>
            <c:spPr>
              <a:noFill/>
              <a:ln>
                <a:noFill/>
              </a:ln>
              <a:effectLst/>
            </c:spPr>
            <c:txPr>
              <a:bodyPr/>
              <a:lstStyle/>
              <a:p>
                <a:pPr>
                  <a:defRPr b="1"/>
                </a:pPr>
                <a:endParaRPr lang="el-G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Φύλλο1!$A$2:$A$5</c:f>
              <c:strCache>
                <c:ptCount val="4"/>
                <c:pt idx="0">
                  <c:v>Με ζημίες</c:v>
                </c:pt>
                <c:pt idx="1">
                  <c:v>Μηδενικό</c:v>
                </c:pt>
                <c:pt idx="2">
                  <c:v>Με κέρδη</c:v>
                </c:pt>
                <c:pt idx="3">
                  <c:v>ΔΑ</c:v>
                </c:pt>
              </c:strCache>
            </c:strRef>
          </c:cat>
          <c:val>
            <c:numRef>
              <c:f>Φύλλο1!$B$2:$B$5</c:f>
              <c:numCache>
                <c:formatCode>General</c:formatCode>
                <c:ptCount val="4"/>
                <c:pt idx="0">
                  <c:v>47.8</c:v>
                </c:pt>
                <c:pt idx="1">
                  <c:v>16.100000000000001</c:v>
                </c:pt>
                <c:pt idx="2">
                  <c:v>27.3</c:v>
                </c:pt>
                <c:pt idx="3">
                  <c:v>8.8000000000000007</c:v>
                </c:pt>
              </c:numCache>
            </c:numRef>
          </c:val>
          <c:extLst>
            <c:ext xmlns:c16="http://schemas.microsoft.com/office/drawing/2014/chart" uri="{C3380CC4-5D6E-409C-BE32-E72D297353CC}">
              <c16:uniqueId val="{00000002-59FA-4AD7-8DC1-3C83318B60C3}"/>
            </c:ext>
          </c:extLst>
        </c:ser>
        <c:ser>
          <c:idx val="1"/>
          <c:order val="1"/>
          <c:tx>
            <c:strRef>
              <c:f>Φύλλο1!$C$1</c:f>
              <c:strCache>
                <c:ptCount val="1"/>
                <c:pt idx="0">
                  <c:v>Ισολογισμός 2019</c:v>
                </c:pt>
              </c:strCache>
            </c:strRef>
          </c:tx>
          <c:spPr>
            <a:solidFill>
              <a:schemeClr val="accent1">
                <a:lumMod val="60000"/>
                <a:lumOff val="4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Φύλλο1!$A$2:$A$5</c:f>
              <c:strCache>
                <c:ptCount val="4"/>
                <c:pt idx="0">
                  <c:v>Με ζημίες</c:v>
                </c:pt>
                <c:pt idx="1">
                  <c:v>Μηδενικό</c:v>
                </c:pt>
                <c:pt idx="2">
                  <c:v>Με κέρδη</c:v>
                </c:pt>
                <c:pt idx="3">
                  <c:v>ΔΑ</c:v>
                </c:pt>
              </c:strCache>
            </c:strRef>
          </c:cat>
          <c:val>
            <c:numRef>
              <c:f>Φύλλο1!$C$2:$C$5</c:f>
              <c:numCache>
                <c:formatCode>General</c:formatCode>
                <c:ptCount val="4"/>
                <c:pt idx="0">
                  <c:v>27.6</c:v>
                </c:pt>
                <c:pt idx="1">
                  <c:v>8.5</c:v>
                </c:pt>
                <c:pt idx="2">
                  <c:v>55.2</c:v>
                </c:pt>
                <c:pt idx="3">
                  <c:v>8.6999999999999993</c:v>
                </c:pt>
              </c:numCache>
            </c:numRef>
          </c:val>
          <c:extLst>
            <c:ext xmlns:c16="http://schemas.microsoft.com/office/drawing/2014/chart" uri="{C3380CC4-5D6E-409C-BE32-E72D297353CC}">
              <c16:uniqueId val="{00000003-59FA-4AD7-8DC1-3C83318B60C3}"/>
            </c:ext>
          </c:extLst>
        </c:ser>
        <c:dLbls>
          <c:dLblPos val="outEnd"/>
          <c:showLegendKey val="0"/>
          <c:showVal val="1"/>
          <c:showCatName val="0"/>
          <c:showSerName val="0"/>
          <c:showPercent val="0"/>
          <c:showBubbleSize val="0"/>
        </c:dLbls>
        <c:gapWidth val="67"/>
        <c:overlap val="-9"/>
        <c:axId val="350750976"/>
        <c:axId val="350765056"/>
      </c:barChart>
      <c:catAx>
        <c:axId val="350750976"/>
        <c:scaling>
          <c:orientation val="minMax"/>
        </c:scaling>
        <c:delete val="0"/>
        <c:axPos val="b"/>
        <c:numFmt formatCode="General" sourceLinked="0"/>
        <c:majorTickMark val="out"/>
        <c:minorTickMark val="none"/>
        <c:tickLblPos val="nextTo"/>
        <c:txPr>
          <a:bodyPr/>
          <a:lstStyle/>
          <a:p>
            <a:pPr>
              <a:defRPr sz="1200"/>
            </a:pPr>
            <a:endParaRPr lang="el-GR"/>
          </a:p>
        </c:txPr>
        <c:crossAx val="350765056"/>
        <c:crosses val="autoZero"/>
        <c:auto val="1"/>
        <c:lblAlgn val="ctr"/>
        <c:lblOffset val="100"/>
        <c:noMultiLvlLbl val="0"/>
      </c:catAx>
      <c:valAx>
        <c:axId val="350765056"/>
        <c:scaling>
          <c:orientation val="minMax"/>
          <c:max val="60"/>
          <c:min val="0"/>
        </c:scaling>
        <c:delete val="0"/>
        <c:axPos val="l"/>
        <c:majorGridlines>
          <c:spPr>
            <a:ln>
              <a:solidFill>
                <a:schemeClr val="bg1">
                  <a:lumMod val="85000"/>
                </a:schemeClr>
              </a:solidFill>
            </a:ln>
          </c:spPr>
        </c:majorGridlines>
        <c:numFmt formatCode="General" sourceLinked="1"/>
        <c:majorTickMark val="out"/>
        <c:minorTickMark val="none"/>
        <c:tickLblPos val="nextTo"/>
        <c:txPr>
          <a:bodyPr/>
          <a:lstStyle/>
          <a:p>
            <a:pPr>
              <a:defRPr sz="800"/>
            </a:pPr>
            <a:endParaRPr lang="el-GR"/>
          </a:p>
        </c:txPr>
        <c:crossAx val="350750976"/>
        <c:crosses val="autoZero"/>
        <c:crossBetween val="between"/>
        <c:majorUnit val="10"/>
      </c:valAx>
    </c:plotArea>
    <c:legend>
      <c:legendPos val="t"/>
      <c:layout>
        <c:manualLayout>
          <c:xMode val="edge"/>
          <c:yMode val="edge"/>
          <c:x val="0.14666639604146547"/>
          <c:y val="2.171802704549898E-2"/>
          <c:w val="0.75279456128806199"/>
          <c:h val="8.226914050765459E-2"/>
        </c:manualLayout>
      </c:layout>
      <c:overlay val="0"/>
      <c:txPr>
        <a:bodyPr/>
        <a:lstStyle/>
        <a:p>
          <a:pPr>
            <a:defRPr b="1"/>
          </a:pPr>
          <a:endParaRPr lang="el-GR"/>
        </a:p>
      </c:txPr>
    </c:legend>
    <c:plotVisOnly val="1"/>
    <c:dispBlanksAs val="gap"/>
    <c:showDLblsOverMax val="0"/>
  </c:chart>
  <c:txPr>
    <a:bodyPr/>
    <a:lstStyle/>
    <a:p>
      <a:pPr>
        <a:defRPr sz="1200">
          <a:latin typeface="Microsoft JhengHei UI" panose="020B0604030504040204" pitchFamily="34" charset="-120"/>
          <a:ea typeface="Microsoft JhengHei UI" panose="020B0604030504040204" pitchFamily="34" charset="-120"/>
        </a:defRPr>
      </a:pPr>
      <a:endParaRPr lang="el-GR"/>
    </a:p>
  </c:txPr>
  <c:externalData r:id="rId2">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16BC8A9-660B-49DB-82EC-8DAB8B75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9164</Words>
  <Characters>49491</Characters>
  <Application>Microsoft Office Word</Application>
  <DocSecurity>0</DocSecurity>
  <Lines>412</Lines>
  <Paragraphs>117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Θανόπουλος</dc:creator>
  <cp:lastModifiedBy>Βάσια Μότσου</cp:lastModifiedBy>
  <cp:revision>2</cp:revision>
  <cp:lastPrinted>2021-04-05T12:47:00Z</cp:lastPrinted>
  <dcterms:created xsi:type="dcterms:W3CDTF">2021-04-08T07:50:00Z</dcterms:created>
  <dcterms:modified xsi:type="dcterms:W3CDTF">2021-04-08T07:50:00Z</dcterms:modified>
</cp:coreProperties>
</file>